
<file path=[Content_Types].xml><?xml version="1.0" encoding="utf-8"?>
<Types xmlns="http://schemas.openxmlformats.org/package/2006/content-types">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jpeg" ContentType="image/jpeg"/>
  <Override PartName="/word/media/image4.jpeg" ContentType="image/jpeg"/>
  <Override PartName="/word/media/image1.png" ContentType="image/png"/>
  <Override PartName="/word/media/image2.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 w:cs="" w:hAnsi=""/>
          <w:color w:val="000000"/>
          <w:sz w:val="28"/>
          <w:szCs w:val="28"/>
        </w:rPr>
        <w:t>Development and evaluation of the AUB Middle Eastern collection:</w:t>
      </w:r>
    </w:p>
    <w:p>
      <w:pPr>
        <w:pStyle w:val="style0"/>
        <w:jc w:val="center"/>
      </w:pPr>
      <w:r>
        <w:rPr>
          <w:rFonts w:ascii="" w:cs="" w:hAnsi=""/>
        </w:rPr>
        <w:t>The use of bibliometric-based indicators</w:t>
      </w:r>
    </w:p>
    <w:p>
      <w:pPr>
        <w:pStyle w:val="style0"/>
        <w:jc w:val="both"/>
      </w:pPr>
      <w:r>
        <w:rPr>
          <w:rFonts w:ascii="Calibri" w:hAnsi="Calibri"/>
          <w:b/>
          <w:bCs/>
          <w:color w:val="1F497D"/>
          <w:sz w:val="22"/>
          <w:szCs w:val="22"/>
        </w:rPr>
      </w:r>
    </w:p>
    <w:p>
      <w:pPr>
        <w:pStyle w:val="style0"/>
      </w:pPr>
      <w:r>
        <w:rPr>
          <w:rFonts w:ascii="Calibri" w:hAnsi="Calibri"/>
          <w:i/>
          <w:iCs/>
          <w:color w:val="000000"/>
          <w:sz w:val="22"/>
          <w:szCs w:val="22"/>
        </w:rPr>
        <w:t>The paper provides an overview of the selection and evaluation process of the Middle Eastern studies books collection at the American University of Beirut in Arabic and Western languages. The policy related to this collection will be highlighted, along with the use of bibliometrics to the selection and collection evaluation processes. In particular bibliometrics (h-index, scopus, GS, etc.) applied to the AUB ME collection will give quantitative and qualitative description of the collection</w:t>
      </w:r>
    </w:p>
    <w:p>
      <w:pPr>
        <w:pStyle w:val="style0"/>
        <w:jc w:val="both"/>
      </w:pPr>
      <w:r>
        <w:rPr>
          <w:rFonts w:ascii="Calibri" w:hAnsi="Calibri"/>
          <w:b/>
          <w:bCs/>
          <w:color w:val="1F497D"/>
          <w:sz w:val="22"/>
          <w:szCs w:val="22"/>
        </w:rPr>
      </w:r>
    </w:p>
    <w:p>
      <w:pPr>
        <w:pStyle w:val="style42"/>
        <w:numPr>
          <w:ilvl w:val="0"/>
          <w:numId w:val="1"/>
        </w:numPr>
      </w:pPr>
      <w:r>
        <w:rPr>
          <w:b/>
          <w:bCs/>
        </w:rPr>
        <w:t>Literature review</w:t>
      </w:r>
    </w:p>
    <w:p>
      <w:pPr>
        <w:pStyle w:val="style42"/>
      </w:pPr>
      <w:r>
        <w:rPr>
          <w:b/>
          <w:bCs/>
        </w:rPr>
      </w:r>
    </w:p>
    <w:p>
      <w:pPr>
        <w:pStyle w:val="style0"/>
        <w:jc w:val="both"/>
      </w:pPr>
      <w:r>
        <w:rPr/>
        <w:t xml:space="preserve">Collection Development Departments (CDD) rely on various methods to develop and evaluate monograph collection in Academic Libraries. From syllabi examination (Smith, D. A., 2008) and faculty involvement (Ameen &amp; Haider, 2007) to focus groups, through surveys and instructions sessions (Schmidt, K. 2004) along with peer universities comparisons. CDD decisions are achieved through a combination of criteria to support the book selection process and to evaluate the quality, value, or impact of a book, e.g. the </w:t>
      </w:r>
      <w:r>
        <w:rPr>
          <w:color w:val="000000"/>
        </w:rPr>
        <w:t xml:space="preserve">authority </w:t>
      </w:r>
      <w:r>
        <w:rPr/>
        <w:t>and</w:t>
      </w:r>
      <w:r>
        <w:rPr>
          <w:color w:val="000000"/>
        </w:rPr>
        <w:t xml:space="preserve"> reputation of both author and publisher</w:t>
      </w:r>
      <w:r>
        <w:rPr/>
        <w:t>, the range of price, level of coverage, language, topic, format (print, electronic, DVD, etc.), genealogy (newer editions do not necessarily mean revised editions - Original editions versus reprints), purpose (teaching, research, personal), uniqueness,</w:t>
      </w:r>
      <w:r>
        <w:rPr>
          <w:rFonts w:cs="Calibri"/>
        </w:rPr>
        <w:t xml:space="preserve"> appropriateness to the subject covered (Schmidt, 1984)</w:t>
      </w:r>
      <w:r>
        <w:rPr>
          <w:rFonts w:cs="Calibri"/>
          <w:sz w:val="21"/>
          <w:szCs w:val="21"/>
        </w:rPr>
        <w:t>,</w:t>
      </w:r>
      <w:r>
        <w:rPr/>
        <w:t xml:space="preserve"> the book review itself, the topic and its relevance to the programs taught.</w:t>
      </w:r>
    </w:p>
    <w:p>
      <w:pPr>
        <w:pStyle w:val="style0"/>
        <w:jc w:val="both"/>
      </w:pPr>
      <w:r>
        <w:rPr/>
      </w:r>
    </w:p>
    <w:p>
      <w:pPr>
        <w:pStyle w:val="style0"/>
        <w:jc w:val="both"/>
      </w:pPr>
      <w:r>
        <w:rPr/>
        <w:t>If the publisher authority and reputation is considered, limited studies showed t</w:t>
      </w:r>
      <w:r>
        <w:rPr>
          <w:sz w:val="22"/>
          <w:szCs w:val="22"/>
        </w:rPr>
        <w:t xml:space="preserve">he availability of publisher quality assessment (Lewis, July 2000), while </w:t>
      </w:r>
      <w:r>
        <w:rPr/>
        <w:t xml:space="preserve">a subjective judgment is applied to publisher’s attributing quality </w:t>
      </w:r>
      <w:r>
        <w:rPr>
          <w:rStyle w:val="style32"/>
        </w:rPr>
        <w:footnoteReference w:id="2"/>
      </w:r>
      <w:r>
        <w:rPr/>
        <w:t>(Metz, P. &amp; Stemmer, J., May 1996).</w:t>
      </w:r>
    </w:p>
    <w:p>
      <w:pPr>
        <w:pStyle w:val="style0"/>
        <w:jc w:val="both"/>
      </w:pPr>
      <w:r>
        <w:rPr/>
      </w:r>
    </w:p>
    <w:p>
      <w:pPr>
        <w:pStyle w:val="style0"/>
        <w:jc w:val="both"/>
      </w:pPr>
      <w:r>
        <w:rPr/>
      </w:r>
    </w:p>
    <w:p>
      <w:pPr>
        <w:pStyle w:val="style42"/>
        <w:numPr>
          <w:ilvl w:val="0"/>
          <w:numId w:val="1"/>
        </w:numPr>
      </w:pPr>
      <w:r>
        <w:rPr>
          <w:b/>
          <w:bCs/>
        </w:rPr>
        <w:t>Bibliometrics applied to Selection</w:t>
      </w:r>
    </w:p>
    <w:p>
      <w:pPr>
        <w:pStyle w:val="style0"/>
        <w:jc w:val="both"/>
      </w:pPr>
      <w:r>
        <w:rPr/>
      </w:r>
    </w:p>
    <w:p>
      <w:pPr>
        <w:pStyle w:val="style0"/>
        <w:jc w:val="both"/>
      </w:pPr>
      <w:r>
        <w:rPr/>
        <w:t xml:space="preserve">Thus, along with the aforementioned criteria, and for a quantitative collection development and evaluation, Jafet library at AUB relies on, but does not limit its evaluation to, Bibliometric-Based Indicators (BBI). </w:t>
      </w:r>
    </w:p>
    <w:p>
      <w:pPr>
        <w:pStyle w:val="style0"/>
        <w:tabs>
          <w:tab w:leader="none" w:pos="270" w:val="left"/>
          <w:tab w:leader="none" w:pos="360" w:val="left"/>
        </w:tabs>
        <w:jc w:val="both"/>
      </w:pPr>
      <w:r>
        <w:rPr>
          <w:rFonts w:ascii="" w:cs="" w:hAnsi=""/>
        </w:rPr>
      </w:r>
    </w:p>
    <w:p>
      <w:pPr>
        <w:pStyle w:val="style0"/>
        <w:jc w:val="both"/>
      </w:pPr>
      <w:r>
        <w:rPr/>
        <w:t>Another reason to rely on (BBI) is related to Jafet library space limitations, in addition to a significant annual budget allocated to monographic acquisitions. Faculty members’ book requests are being questioned in order to develop a relevant collection. Thus, more than 1000 requests are rejected yearly while 1% of the faculty members ask back for their books. Bibliometric data is neither applied to books requested for a course nor to those related to research purposes; it is applied to all other requests in Western Language, mainly English.</w:t>
      </w:r>
    </w:p>
    <w:p>
      <w:pPr>
        <w:pStyle w:val="style0"/>
        <w:jc w:val="both"/>
      </w:pPr>
      <w:r>
        <w:rPr/>
      </w:r>
    </w:p>
    <w:p>
      <w:pPr>
        <w:pStyle w:val="style0"/>
        <w:jc w:val="both"/>
      </w:pPr>
      <w:r>
        <w:rPr/>
        <w:t>Historically, in the third century, the counting of the Ancient Library of Alexandria’s scrolls is considered as to be the forerunner of modern bibliometrics, while bibliometrics are defined as “the use of statistical data to analyze patterns of books production and scholarly communication”</w:t>
      </w:r>
      <w:r>
        <w:rPr>
          <w:rStyle w:val="style32"/>
        </w:rPr>
        <w:footnoteReference w:id="3"/>
      </w:r>
      <w:r>
        <w:rPr>
          <w:rFonts w:ascii="Calibri" w:cs="" w:hAnsi="Calibri"/>
          <w:color w:val="000000"/>
          <w:sz w:val="64"/>
          <w:szCs w:val="64"/>
        </w:rPr>
        <w:t xml:space="preserve"> </w:t>
      </w:r>
      <w:r>
        <w:rPr/>
        <w:t xml:space="preserve">(Nisonger, 1992). Bibliometrics </w:t>
      </w:r>
      <w:r>
        <w:rPr>
          <w:color w:val="000000"/>
        </w:rPr>
        <w:t xml:space="preserve">define how influential the author has been in the past, </w:t>
      </w:r>
      <w:r>
        <w:rPr>
          <w:rFonts w:ascii="" w:cs="" w:hAnsi=""/>
        </w:rPr>
        <w:t xml:space="preserve">giving an idea of the number of works an author/editor has published and the number of times each work has been cited. In short, it allows assessing both the quantity and “quality” of an author’s/editor’s work. </w:t>
      </w:r>
      <w:r>
        <w:rPr>
          <w:rFonts w:ascii="" w:cs="Calibri" w:hAnsi=""/>
          <w:sz w:val="22"/>
          <w:szCs w:val="22"/>
        </w:rPr>
        <w:t xml:space="preserve">Hirsch states that, </w:t>
      </w:r>
      <w:r>
        <w:rPr>
          <w:rFonts w:ascii="Dutch801BT-Roman" w:cs="Calibri" w:hAnsi="Dutch801BT-Roman"/>
          <w:sz w:val="18"/>
          <w:szCs w:val="18"/>
        </w:rPr>
        <w:t>“</w:t>
      </w:r>
      <w:r>
        <w:rPr>
          <w:rFonts w:ascii="" w:cs="Calibri" w:hAnsi=""/>
        </w:rPr>
        <w:t>the publication record of an individual and the citation record clearly are data that contain useful information</w:t>
      </w:r>
      <w:r>
        <w:rPr>
          <w:rFonts w:ascii="Dutch801BT-Roman" w:cs="Calibri" w:hAnsi="Dutch801BT-Roman"/>
          <w:sz w:val="18"/>
          <w:szCs w:val="18"/>
        </w:rPr>
        <w:t>”</w:t>
      </w:r>
      <w:r>
        <w:rPr/>
        <w:t xml:space="preserve"> (Hirsch, 2005).</w:t>
      </w:r>
    </w:p>
    <w:p>
      <w:pPr>
        <w:pStyle w:val="style0"/>
        <w:jc w:val="both"/>
      </w:pPr>
      <w:r>
        <w:rPr/>
        <w:t>It has been used mainly to distinguish the most productive authors and institutions and identify research experts (Nisonger, 1992); H-index, WoS, Scopus and GS were created for citation searching and bibliometric analysis (Meho, L. &amp; Yang, H., November 2007).</w:t>
      </w:r>
    </w:p>
    <w:p>
      <w:pPr>
        <w:pStyle w:val="style0"/>
        <w:jc w:val="both"/>
      </w:pPr>
      <w:r>
        <w:rPr>
          <w:b/>
          <w:bCs/>
        </w:rPr>
      </w:r>
    </w:p>
    <w:p>
      <w:pPr>
        <w:pStyle w:val="style42"/>
        <w:numPr>
          <w:ilvl w:val="0"/>
          <w:numId w:val="2"/>
        </w:numPr>
        <w:tabs>
          <w:tab w:leader="none" w:pos="990" w:val="left"/>
          <w:tab w:leader="none" w:pos="1080" w:val="left"/>
        </w:tabs>
      </w:pPr>
      <w:r>
        <w:rPr>
          <w:rFonts w:ascii="" w:cs="" w:hAnsi=""/>
          <w:b/>
          <w:bCs/>
        </w:rPr>
        <w:t>New publications Middle Eastern Western Collection</w:t>
      </w:r>
    </w:p>
    <w:p>
      <w:pPr>
        <w:pStyle w:val="style0"/>
        <w:tabs>
          <w:tab w:leader="none" w:pos="270" w:val="left"/>
          <w:tab w:leader="none" w:pos="360" w:val="left"/>
        </w:tabs>
        <w:jc w:val="both"/>
      </w:pPr>
      <w:r>
        <w:rPr>
          <w:rFonts w:ascii="" w:cs="" w:hAnsi=""/>
        </w:rPr>
      </w:r>
    </w:p>
    <w:p>
      <w:pPr>
        <w:pStyle w:val="style42"/>
        <w:numPr>
          <w:ilvl w:val="0"/>
          <w:numId w:val="3"/>
        </w:numPr>
      </w:pPr>
      <w:r>
        <w:rPr>
          <w:i/>
          <w:iCs/>
        </w:rPr>
        <w:t>Authored book</w:t>
      </w:r>
    </w:p>
    <w:p>
      <w:pPr>
        <w:pStyle w:val="style0"/>
        <w:tabs>
          <w:tab w:leader="none" w:pos="270" w:val="left"/>
          <w:tab w:leader="none" w:pos="360" w:val="left"/>
        </w:tabs>
      </w:pPr>
      <w:r>
        <w:rPr>
          <w:shd w:fill="FFFF00" w:val="clear"/>
        </w:rPr>
      </w:r>
    </w:p>
    <w:p>
      <w:pPr>
        <w:pStyle w:val="style42"/>
        <w:ind w:hanging="0" w:left="0" w:right="0"/>
      </w:pPr>
      <w:r>
        <w:rPr/>
        <w:t>At AUB libraries the average number of citations required to build a decision of purchasing versus non-purchasing a recent book, depends on the field of study: citation counts of scientific books are usually higher than humanities books.</w:t>
      </w:r>
    </w:p>
    <w:p>
      <w:pPr>
        <w:pStyle w:val="style42"/>
        <w:ind w:hanging="0" w:left="0" w:right="0"/>
      </w:pPr>
      <w:r>
        <w:rPr/>
      </w:r>
    </w:p>
    <w:p>
      <w:pPr>
        <w:pStyle w:val="style0"/>
      </w:pPr>
      <w:r>
        <w:rPr/>
        <w:t xml:space="preserve">To evaluate a book using bibliometric data, the first step is to look at its publication and copyright year: </w:t>
      </w:r>
    </w:p>
    <w:p>
      <w:pPr>
        <w:pStyle w:val="style0"/>
      </w:pPr>
      <w:r>
        <w:rPr/>
      </w:r>
    </w:p>
    <w:p>
      <w:pPr>
        <w:pStyle w:val="style42"/>
        <w:numPr>
          <w:ilvl w:val="1"/>
          <w:numId w:val="6"/>
        </w:numPr>
      </w:pPr>
      <w:r>
        <w:rPr/>
        <w:t>If before 2004, check:</w:t>
      </w:r>
    </w:p>
    <w:p>
      <w:pPr>
        <w:pStyle w:val="style42"/>
        <w:ind w:hanging="0" w:left="1440" w:right="0"/>
      </w:pPr>
      <w:r>
        <w:rPr/>
        <w:t>Number of citations in Scopus and/or Google Scholar (disregard all other bibliometric-based indicators/tools)</w:t>
      </w:r>
    </w:p>
    <w:p>
      <w:pPr>
        <w:pStyle w:val="style42"/>
        <w:ind w:hanging="0" w:left="1440" w:right="0"/>
      </w:pPr>
      <w:r>
        <w:rPr/>
      </w:r>
    </w:p>
    <w:p>
      <w:pPr>
        <w:pStyle w:val="style42"/>
        <w:numPr>
          <w:ilvl w:val="1"/>
          <w:numId w:val="6"/>
        </w:numPr>
      </w:pPr>
      <w:r>
        <w:rPr/>
        <w:t>If 2004-2008, check:</w:t>
      </w:r>
    </w:p>
    <w:p>
      <w:pPr>
        <w:pStyle w:val="style42"/>
        <w:ind w:hanging="0" w:left="1800" w:right="0"/>
      </w:pPr>
      <w:r>
        <w:rPr/>
        <w:t>- Number of citations in Scopus and/or Google Scholar; AND</w:t>
      </w:r>
    </w:p>
    <w:p>
      <w:pPr>
        <w:pStyle w:val="style42"/>
        <w:ind w:hanging="0" w:left="1800" w:right="0"/>
      </w:pPr>
      <w:r>
        <w:rPr/>
        <w:t>- H-index of author/editor in Scopus and/or Google Scholar</w:t>
      </w:r>
    </w:p>
    <w:p>
      <w:pPr>
        <w:pStyle w:val="style42"/>
        <w:ind w:hanging="0" w:left="2160" w:right="0"/>
      </w:pPr>
      <w:r>
        <w:rPr/>
      </w:r>
    </w:p>
    <w:p>
      <w:pPr>
        <w:pStyle w:val="style42"/>
        <w:numPr>
          <w:ilvl w:val="1"/>
          <w:numId w:val="6"/>
        </w:numPr>
      </w:pPr>
      <w:r>
        <w:rPr/>
        <w:t>If after 2008, check:</w:t>
      </w:r>
    </w:p>
    <w:p>
      <w:pPr>
        <w:pStyle w:val="style42"/>
        <w:ind w:hanging="0" w:left="1800" w:right="0"/>
      </w:pPr>
      <w:r>
        <w:rPr/>
        <w:t>- H-index of author/editor in Scopus and/or Google Scholar</w:t>
      </w:r>
    </w:p>
    <w:p>
      <w:pPr>
        <w:pStyle w:val="style0"/>
      </w:pPr>
      <w:r>
        <w:rPr/>
      </w:r>
    </w:p>
    <w:p>
      <w:pPr>
        <w:pStyle w:val="style0"/>
      </w:pPr>
      <w:r>
        <w:rPr/>
        <w:t>Before 2004: this will give the book plenty of time (10 years or more) to get known and be cited to accurately determine its impact or lack of it</w:t>
      </w:r>
    </w:p>
    <w:p>
      <w:pPr>
        <w:pStyle w:val="style0"/>
      </w:pPr>
      <w:r>
        <w:rPr/>
      </w:r>
    </w:p>
    <w:p>
      <w:pPr>
        <w:pStyle w:val="style0"/>
      </w:pPr>
      <w:r>
        <w:rPr/>
        <w:t>2004-2008: 5-9 years may or may not be enough for a book to get well known and be cited to accurately determine its impact or lack of it – this is why two indicators are used for such books</w:t>
      </w:r>
    </w:p>
    <w:p>
      <w:pPr>
        <w:pStyle w:val="style0"/>
      </w:pPr>
      <w:r>
        <w:rPr/>
      </w:r>
    </w:p>
    <w:p>
      <w:pPr>
        <w:pStyle w:val="style0"/>
      </w:pPr>
      <w:r>
        <w:rPr/>
        <w:t>After 2008: 5 years or less are not enough for a book to get well known and be cited to accurately determine its impact or lack of it – this is why we do not use citation count of books in this case and instead use the h-index of the author/editor</w:t>
      </w:r>
    </w:p>
    <w:p>
      <w:pPr>
        <w:pStyle w:val="style0"/>
      </w:pPr>
      <w:r>
        <w:rPr>
          <w:rFonts w:cs="Calibri"/>
          <w:sz w:val="21"/>
          <w:szCs w:val="21"/>
        </w:rPr>
      </w:r>
    </w:p>
    <w:p>
      <w:pPr>
        <w:pStyle w:val="style0"/>
      </w:pPr>
      <w:r>
        <w:rPr>
          <w:rFonts w:cs="Calibri"/>
          <w:sz w:val="21"/>
          <w:szCs w:val="21"/>
        </w:rPr>
      </w:r>
    </w:p>
    <w:p>
      <w:pPr>
        <w:pStyle w:val="style42"/>
        <w:numPr>
          <w:ilvl w:val="0"/>
          <w:numId w:val="4"/>
        </w:numPr>
      </w:pPr>
      <w:r>
        <w:rPr>
          <w:b/>
          <w:bCs/>
          <w:sz w:val="24"/>
          <w:szCs w:val="24"/>
        </w:rPr>
        <w:t xml:space="preserve">New publications -ME Arabic collection: </w:t>
      </w:r>
      <w:r>
        <w:rPr>
          <w:rFonts w:eastAsia="Times New Roman"/>
          <w:b/>
          <w:bCs/>
          <w:i/>
          <w:iCs/>
          <w:sz w:val="24"/>
          <w:szCs w:val="24"/>
        </w:rPr>
        <w:t>AUB collection development policy</w:t>
      </w:r>
    </w:p>
    <w:p>
      <w:pPr>
        <w:pStyle w:val="style42"/>
      </w:pPr>
      <w:r>
        <w:rPr/>
      </w:r>
    </w:p>
    <w:p>
      <w:pPr>
        <w:pStyle w:val="style0"/>
        <w:jc w:val="both"/>
      </w:pPr>
      <w:r>
        <w:rPr/>
        <w:t xml:space="preserve">As for Arabic books in the same field, where bibliometrics do not apply, CDAD rely on the publisher mainly. AUB collection development policy states that a book should not be a reprint a re-issue or a republication by a different publisher or under a slightly changed title. Translations are avoided. Materials written for a juvenile rather than an academic audience are not selected; neither recreational reading, </w:t>
      </w:r>
      <w:r>
        <w:rPr>
          <w:rStyle w:val="style18"/>
          <w:b w:val="false"/>
          <w:bCs w:val="false"/>
          <w:i w:val="false"/>
          <w:iCs w:val="false"/>
          <w:color w:val="00000A"/>
        </w:rPr>
        <w:t>commercial and poor publications</w:t>
      </w:r>
      <w:r>
        <w:rPr/>
        <w:t xml:space="preserve"> with little value as academic resources; nor textbooks, except when they are only/most appropriate source of information on a subject. Outdated materials are acquired when related to disciplines such as History, Middle Eastern and Islamic studies, Arabic Literature, etc. or a recognized classic with demonstrable research value.  No duplicate copies, unless material is in high demand.</w:t>
      </w:r>
    </w:p>
    <w:p>
      <w:pPr>
        <w:pStyle w:val="style0"/>
        <w:jc w:val="both"/>
      </w:pPr>
      <w:r>
        <w:rPr/>
      </w:r>
    </w:p>
    <w:p>
      <w:pPr>
        <w:pStyle w:val="style0"/>
        <w:jc w:val="both"/>
      </w:pPr>
      <w:r>
        <w:rPr/>
      </w:r>
    </w:p>
    <w:p>
      <w:pPr>
        <w:pStyle w:val="style42"/>
        <w:numPr>
          <w:ilvl w:val="0"/>
          <w:numId w:val="1"/>
        </w:numPr>
      </w:pPr>
      <w:r>
        <w:rPr>
          <w:b/>
          <w:bCs/>
        </w:rPr>
        <w:t>BBI applied to collection</w:t>
      </w:r>
      <w:r>
        <w:rPr/>
        <w:t xml:space="preserve"> </w:t>
      </w:r>
      <w:r>
        <w:rPr>
          <w:b/>
          <w:bCs/>
        </w:rPr>
        <w:t>evaluation</w:t>
      </w:r>
    </w:p>
    <w:p>
      <w:pPr>
        <w:pStyle w:val="style42"/>
      </w:pPr>
      <w:r>
        <w:rPr>
          <w:sz w:val="24"/>
          <w:szCs w:val="24"/>
        </w:rPr>
      </w:r>
    </w:p>
    <w:p>
      <w:pPr>
        <w:pStyle w:val="style40"/>
        <w:spacing w:after="28" w:before="28"/>
        <w:contextualSpacing w:val="false"/>
        <w:jc w:val="both"/>
      </w:pPr>
      <w:r>
        <w:rPr/>
        <w:t>As previously stated, Bibliometrics can be one of the monographs selection criteria. Similarly, it can also be used to define the level of collection relevancy conferring to information user needs and library goal achievement, along with evaluating collection quality (Nisonger, 1992). (Adams, B. &amp; Noel, B., 2008) explain that analysis and quantitative feedback will improve collection development’s future acquisitions, detecting area of over selection. The strengths and weaknesses of subject classes can be assessed quantitatively. The h-index defines the threshold upon which the collection improvement stands.</w:t>
      </w:r>
    </w:p>
    <w:p>
      <w:pPr>
        <w:pStyle w:val="style40"/>
        <w:spacing w:after="28" w:before="28"/>
        <w:contextualSpacing w:val="false"/>
        <w:jc w:val="both"/>
      </w:pPr>
      <w:r>
        <w:rPr/>
      </w:r>
    </w:p>
    <w:p>
      <w:pPr>
        <w:pStyle w:val="style40"/>
        <w:spacing w:after="28" w:before="28"/>
        <w:contextualSpacing w:val="false"/>
        <w:jc w:val="both"/>
      </w:pPr>
      <w:r>
        <w:rPr>
          <w:sz w:val="22"/>
          <w:szCs w:val="22"/>
        </w:rPr>
      </w:r>
    </w:p>
    <w:p>
      <w:pPr>
        <w:pStyle w:val="style0"/>
        <w:jc w:val="both"/>
      </w:pPr>
      <w:r>
        <w:rPr/>
      </w:r>
    </w:p>
    <w:p>
      <w:pPr>
        <w:pStyle w:val="style0"/>
        <w:jc w:val="both"/>
      </w:pPr>
      <w:r>
        <w:rPr/>
        <w:drawing>
          <wp:inline distB="0" distL="0" distR="0" distT="0">
            <wp:extent cx="2514600" cy="252285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2514600" cy="2522855"/>
                    </a:xfrm>
                    <a:prstGeom prst="rect">
                      <a:avLst/>
                    </a:prstGeom>
                    <a:noFill/>
                    <a:ln w="9525">
                      <a:noFill/>
                      <a:miter lim="800000"/>
                      <a:headEnd/>
                      <a:tailEnd/>
                    </a:ln>
                  </pic:spPr>
                </pic:pic>
              </a:graphicData>
            </a:graphic>
          </wp:inline>
        </w:drawing>
      </w:r>
      <w:r>
        <w:rPr/>
        <w:drawing>
          <wp:inline distB="0" distL="0" distR="0" distT="0">
            <wp:extent cx="2890520" cy="2819400"/>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3"/>
                    <a:srcRect/>
                    <a:stretch>
                      <a:fillRect/>
                    </a:stretch>
                  </pic:blipFill>
                  <pic:spPr bwMode="auto">
                    <a:xfrm>
                      <a:off x="0" y="0"/>
                      <a:ext cx="2890520" cy="2819400"/>
                    </a:xfrm>
                    <a:prstGeom prst="rect">
                      <a:avLst/>
                    </a:prstGeom>
                    <a:noFill/>
                    <a:ln w="9525">
                      <a:noFill/>
                      <a:miter lim="800000"/>
                      <a:headEnd/>
                      <a:tailEnd/>
                    </a:ln>
                  </pic:spPr>
                </pic:pic>
              </a:graphicData>
            </a:graphic>
          </wp:inline>
        </w:drawing>
      </w:r>
    </w:p>
    <w:p>
      <w:pPr>
        <w:pStyle w:val="style48"/>
        <w:spacing w:after="120" w:before="0"/>
        <w:contextualSpacing w:val="false"/>
      </w:pPr>
      <w:r>
        <w:rPr>
          <w:rFonts w:ascii="Calibri" w:hAnsi="Calibri"/>
          <w:color w:val="C00000"/>
        </w:rPr>
        <w:t>Checkouts</w:t>
      </w:r>
    </w:p>
    <w:p>
      <w:pPr>
        <w:pStyle w:val="style0"/>
        <w:jc w:val="both"/>
      </w:pPr>
      <w:r>
        <w:rPr/>
      </w:r>
    </w:p>
    <w:p>
      <w:pPr>
        <w:pStyle w:val="style48"/>
        <w:spacing w:after="120" w:before="0"/>
        <w:contextualSpacing w:val="false"/>
      </w:pPr>
      <w:r>
        <w:rPr>
          <w:sz w:val="20"/>
          <w:szCs w:val="20"/>
        </w:rPr>
        <w:t>Kim, Lee, &amp; Park, (2009)</w:t>
      </w:r>
    </w:p>
    <w:p>
      <w:pPr>
        <w:pStyle w:val="style40"/>
        <w:spacing w:after="28" w:before="28"/>
        <w:contextualSpacing w:val="false"/>
        <w:jc w:val="both"/>
      </w:pPr>
      <w:r>
        <w:rPr/>
      </w:r>
    </w:p>
    <w:p>
      <w:pPr>
        <w:pStyle w:val="style40"/>
        <w:spacing w:after="28" w:before="28"/>
        <w:contextualSpacing w:val="false"/>
        <w:jc w:val="both"/>
      </w:pPr>
      <w:r>
        <w:rPr/>
        <w:t xml:space="preserve">As the original h-index, collection evaluation h-index is defined as follows; “A subject category has index </w:t>
      </w:r>
      <w:r>
        <w:rPr>
          <w:i/>
          <w:iCs/>
        </w:rPr>
        <w:t>h</w:t>
      </w:r>
      <w:r>
        <w:rPr/>
        <w:t xml:space="preserve"> if </w:t>
      </w:r>
      <w:r>
        <w:rPr>
          <w:i/>
          <w:iCs/>
        </w:rPr>
        <w:t>h</w:t>
      </w:r>
      <w:r>
        <w:rPr/>
        <w:t xml:space="preserve"> of its number of books (</w:t>
      </w:r>
      <w:r>
        <w:rPr>
          <w:i/>
          <w:iCs/>
        </w:rPr>
        <w:t>Nb</w:t>
      </w:r>
      <w:r>
        <w:rPr/>
        <w:t xml:space="preserve">) has at least </w:t>
      </w:r>
      <w:r>
        <w:rPr>
          <w:i/>
          <w:iCs/>
        </w:rPr>
        <w:t>h</w:t>
      </w:r>
      <w:r>
        <w:rPr/>
        <w:t xml:space="preserve"> circulations each and the other (</w:t>
      </w:r>
      <w:r>
        <w:rPr>
          <w:i/>
          <w:iCs/>
        </w:rPr>
        <w:t>Nb-h</w:t>
      </w:r>
      <w:r>
        <w:rPr/>
        <w:t xml:space="preserve">) books have ≤ </w:t>
      </w:r>
      <w:r>
        <w:rPr>
          <w:i/>
          <w:iCs/>
        </w:rPr>
        <w:t>h</w:t>
      </w:r>
      <w:r>
        <w:rPr/>
        <w:t xml:space="preserve"> citations each”</w:t>
      </w:r>
      <w:r>
        <w:rPr>
          <w:rStyle w:val="style32"/>
        </w:rPr>
        <w:footnoteReference w:id="4"/>
      </w:r>
      <w:r>
        <w:rPr/>
        <w:t xml:space="preserve">  (Kim, Lee, &amp; Park, 2009).</w:t>
      </w:r>
    </w:p>
    <w:p>
      <w:pPr>
        <w:pStyle w:val="style40"/>
        <w:spacing w:after="28" w:before="28"/>
        <w:contextualSpacing w:val="false"/>
        <w:jc w:val="both"/>
      </w:pPr>
      <w:r>
        <w:rPr/>
      </w:r>
    </w:p>
    <w:p>
      <w:pPr>
        <w:pStyle w:val="style0"/>
      </w:pPr>
      <w:r>
        <w:rPr/>
        <w:t>Collection evaluation h-index is applied to library circulation data, which are easily accessible through automated systems, along with their DDC subject classes. In order to measure the ME collection strengths by subject according to circulated books, a project was conducted at AUB, targeting subject headings that include the term “Middle East”. We are assuming that we have a good subject index. The library is relaying on the LC classification, but since all areas are not developed equally, AUB libraries build on LC subject class.</w:t>
      </w:r>
    </w:p>
    <w:p>
      <w:pPr>
        <w:pStyle w:val="style40"/>
        <w:spacing w:after="28" w:before="28"/>
        <w:contextualSpacing w:val="false"/>
        <w:jc w:val="both"/>
      </w:pPr>
      <w:r>
        <w:rPr/>
        <w:t xml:space="preserve"> </w:t>
      </w:r>
    </w:p>
    <w:p>
      <w:pPr>
        <w:pStyle w:val="style0"/>
      </w:pPr>
      <w:r>
        <w:rPr/>
        <w:t>Analysis only targeted hard books’ circulation of the ME collection available for open access from 1997 to 25-3-2013.  Average circulation of interlibrary loan data was not considered, because of the novelty of the service at AUB. Middle Eastern special collections (Manuscripts and rare books), which are non-circulated materials, were also excluded. The open stacks, since two years, may have influenced the results, and user behavior and performance.</w:t>
      </w:r>
    </w:p>
    <w:p>
      <w:pPr>
        <w:pStyle w:val="style40"/>
        <w:spacing w:after="28" w:before="28"/>
        <w:contextualSpacing w:val="false"/>
        <w:jc w:val="both"/>
      </w:pPr>
      <w:r>
        <w:rPr/>
      </w:r>
    </w:p>
    <w:p>
      <w:pPr>
        <w:pStyle w:val="style40"/>
        <w:spacing w:after="28" w:before="28"/>
        <w:contextualSpacing w:val="false"/>
      </w:pPr>
      <w:r>
        <w:rPr>
          <w:rFonts w:ascii="Verdana" w:hAnsi="Verdana"/>
          <w:sz w:val="18"/>
          <w:szCs w:val="18"/>
        </w:rPr>
      </w:r>
    </w:p>
    <w:p>
      <w:pPr>
        <w:pStyle w:val="style40"/>
        <w:spacing w:after="28" w:before="28"/>
        <w:contextualSpacing w:val="false"/>
      </w:pPr>
      <w:r>
        <w:rPr>
          <w:rFonts w:ascii="Verdana" w:hAnsi="Verdana"/>
          <w:sz w:val="18"/>
          <w:szCs w:val="18"/>
        </w:rPr>
      </w:r>
    </w:p>
    <w:p>
      <w:pPr>
        <w:pStyle w:val="style40"/>
        <w:spacing w:after="28" w:before="28"/>
        <w:contextualSpacing w:val="false"/>
        <w:jc w:val="center"/>
      </w:pPr>
      <w:r>
        <w:rPr>
          <w:rFonts w:ascii="Verdana" w:hAnsi="Verdana"/>
          <w:sz w:val="18"/>
          <w:szCs w:val="18"/>
        </w:rPr>
      </w:r>
    </w:p>
    <w:p>
      <w:pPr>
        <w:pStyle w:val="style40"/>
        <w:spacing w:after="28" w:before="28"/>
        <w:contextualSpacing w:val="false"/>
        <w:jc w:val="center"/>
      </w:pPr>
      <w:r>
        <w:rPr>
          <w:rFonts w:ascii="Verdana" w:hAnsi="Verdana"/>
          <w:sz w:val="18"/>
          <w:szCs w:val="18"/>
        </w:rPr>
      </w:r>
    </w:p>
    <w:p>
      <w:pPr>
        <w:pStyle w:val="style40"/>
        <w:spacing w:after="28" w:before="28"/>
        <w:contextualSpacing w:val="false"/>
        <w:jc w:val="center"/>
      </w:pPr>
      <w:r>
        <w:rPr>
          <w:rFonts w:ascii="Verdana" w:hAnsi="Verdana"/>
          <w:sz w:val="18"/>
          <w:szCs w:val="18"/>
        </w:rPr>
      </w:r>
    </w:p>
    <w:p>
      <w:pPr>
        <w:pStyle w:val="style40"/>
        <w:spacing w:after="28" w:before="28"/>
        <w:contextualSpacing w:val="false"/>
        <w:jc w:val="center"/>
      </w:pPr>
      <w:r>
        <w:rPr>
          <w:rFonts w:ascii="Verdana" w:hAnsi="Verdana"/>
          <w:sz w:val="18"/>
          <w:szCs w:val="18"/>
        </w:rPr>
        <w:t>Total Checkout per DDC versus checkout</w:t>
      </w:r>
    </w:p>
    <w:p>
      <w:pPr>
        <w:pStyle w:val="style40"/>
        <w:spacing w:after="28" w:before="28"/>
        <w:contextualSpacing w:val="false"/>
        <w:jc w:val="center"/>
      </w:pPr>
      <w:r>
        <w:rPr>
          <w:rFonts w:ascii="Verdana" w:hAnsi="Verdana"/>
          <w:sz w:val="18"/>
          <w:szCs w:val="18"/>
        </w:rPr>
        <w:t>Western ME collection</w:t>
      </w:r>
    </w:p>
    <w:p>
      <w:pPr>
        <w:pStyle w:val="style40"/>
        <w:jc w:val="center"/>
      </w:pPr>
      <w:r>
        <w:rPr>
          <w:rFonts w:ascii="Verdana" w:hAnsi="Verdana"/>
          <w:sz w:val="18"/>
          <w:szCs w:val="18"/>
        </w:rPr>
        <w:br/>
      </w:r>
      <w:r>
        <w:rPr>
          <w:rFonts w:ascii="Verdana" w:hAnsi="Verdana"/>
          <w:sz w:val="18"/>
          <w:szCs w:val="18"/>
        </w:rPr>
        <w:drawing>
          <wp:inline distB="0" distL="0" distR="0" distT="0">
            <wp:extent cx="4474845" cy="2753360"/>
            <wp:effectExtent b="0" l="0" r="0" t="0"/>
            <wp:docPr descr="C:\Users\ma265\Desktop\MM\Checkout Per Class2.jpg"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ma265\Desktop\MM\Checkout Per Class2.jpg" id="2" name="Picture"/>
                    <pic:cNvPicPr>
                      <a:picLocks noChangeArrowheads="1" noChangeAspect="1"/>
                    </pic:cNvPicPr>
                  </pic:nvPicPr>
                  <pic:blipFill>
                    <a:blip r:embed="rId4"/>
                    <a:srcRect/>
                    <a:stretch>
                      <a:fillRect/>
                    </a:stretch>
                  </pic:blipFill>
                  <pic:spPr bwMode="auto">
                    <a:xfrm>
                      <a:off x="0" y="0"/>
                      <a:ext cx="4474845" cy="2753360"/>
                    </a:xfrm>
                    <a:prstGeom prst="rect">
                      <a:avLst/>
                    </a:prstGeom>
                    <a:noFill/>
                    <a:ln w="9525">
                      <a:noFill/>
                      <a:miter lim="800000"/>
                      <a:headEnd/>
                      <a:tailEnd/>
                    </a:ln>
                  </pic:spPr>
                </pic:pic>
              </a:graphicData>
            </a:graphic>
          </wp:inline>
        </w:drawing>
      </w:r>
    </w:p>
    <w:p>
      <w:pPr>
        <w:pStyle w:val="style40"/>
        <w:spacing w:after="28" w:before="28"/>
        <w:contextualSpacing w:val="false"/>
      </w:pPr>
      <w:r>
        <w:rPr>
          <w:rFonts w:ascii="" w:cs="" w:hAnsi=""/>
        </w:rPr>
        <w:t>We can notice that the 956 field is highly cited, followed by 327, 305 and 320, etc.</w:t>
      </w:r>
    </w:p>
    <w:p>
      <w:pPr>
        <w:pStyle w:val="style40"/>
        <w:spacing w:after="28" w:before="28"/>
        <w:contextualSpacing w:val="false"/>
      </w:pPr>
      <w:r>
        <w:rPr>
          <w:rFonts w:ascii="" w:cs="" w:hAnsi=""/>
        </w:rPr>
      </w:r>
    </w:p>
    <w:p>
      <w:pPr>
        <w:pStyle w:val="style40"/>
        <w:spacing w:after="28" w:before="28"/>
        <w:contextualSpacing w:val="false"/>
        <w:jc w:val="center"/>
      </w:pPr>
      <w:r>
        <w:rPr>
          <w:rFonts w:ascii="" w:cs="" w:hAnsi=""/>
        </w:rPr>
      </w:r>
    </w:p>
    <w:tbl>
      <w:tblPr>
        <w:jc w:val="center"/>
        <w:tblInd w:type="dxa" w:w="28"/>
        <w:tblBorders>
          <w:top w:color="FFFFFF" w:space="0" w:sz="8" w:val="single"/>
          <w:left w:color="FFFFFF" w:space="0" w:sz="8" w:val="single"/>
          <w:bottom w:color="FFFFFF" w:space="0" w:sz="24" w:val="single"/>
          <w:insideH w:color="FFFFFF" w:space="0" w:sz="24" w:val="single"/>
          <w:right w:color="FFFFFF" w:space="0" w:sz="8" w:val="single"/>
          <w:insideV w:color="FFFFFF" w:space="0" w:sz="8" w:val="single"/>
        </w:tblBorders>
        <w:tblCellMar>
          <w:top w:type="dxa" w:w="15"/>
          <w:left w:type="dxa" w:w="18"/>
          <w:bottom w:type="dxa" w:w="0"/>
          <w:right w:type="dxa" w:w="28"/>
        </w:tblCellMar>
      </w:tblPr>
      <w:tblGrid>
        <w:gridCol w:w="919"/>
        <w:gridCol w:w="4097"/>
        <w:gridCol w:w="953"/>
        <w:gridCol w:w="1089"/>
        <w:gridCol w:w="1038"/>
      </w:tblGrid>
      <w:tr>
        <w:trPr>
          <w:trHeight w:hRule="atLeast" w:val="358"/>
          <w:cantSplit w:val="false"/>
        </w:trPr>
        <w:tc>
          <w:tcPr>
            <w:tcW w:type="dxa" w:w="919"/>
            <w:tcBorders>
              <w:top w:color="FFFFFF" w:space="0" w:sz="8" w:val="single"/>
              <w:left w:color="FFFFFF" w:space="0" w:sz="8" w:val="single"/>
              <w:bottom w:color="FFFFFF" w:space="0" w:sz="24"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 </w:t>
            </w:r>
            <w:r>
              <w:rPr>
                <w:rFonts w:ascii="" w:cs="" w:hAnsi=""/>
                <w:b/>
                <w:bCs/>
                <w:sz w:val="18"/>
                <w:szCs w:val="18"/>
              </w:rPr>
              <w:t>Sorting by total checkout</w:t>
            </w:r>
          </w:p>
        </w:tc>
        <w:tc>
          <w:tcPr>
            <w:tcW w:type="dxa" w:w="4097"/>
            <w:gridSpan w:val="2"/>
            <w:tcBorders>
              <w:top w:color="FFFFFF" w:space="0" w:sz="8" w:val="single"/>
              <w:left w:color="FFFFFF" w:space="0" w:sz="8" w:val="single"/>
              <w:bottom w:color="FFFFFF" w:space="0" w:sz="24" w:val="single"/>
              <w:right w:color="FFFFFF" w:space="0" w:sz="8" w:val="single"/>
            </w:tcBorders>
            <w:shd w:fill="4F81BD" w:val="clear"/>
            <w:tcMar>
              <w:left w:type="dxa" w:w="18"/>
            </w:tcMar>
            <w:vAlign w:val="bottom"/>
          </w:tcPr>
          <w:p>
            <w:pPr>
              <w:pStyle w:val="style40"/>
              <w:spacing w:after="28" w:before="28"/>
              <w:contextualSpacing w:val="false"/>
            </w:pPr>
            <w:r>
              <w:rPr>
                <w:rFonts w:ascii="" w:cs="" w:hAnsi=""/>
                <w:b/>
                <w:bCs/>
                <w:sz w:val="18"/>
                <w:szCs w:val="18"/>
              </w:rPr>
              <w:t>Class number by  DDC</w:t>
            </w:r>
          </w:p>
        </w:tc>
        <w:tc>
          <w:tcPr>
            <w:tcW w:type="dxa" w:w="953"/>
            <w:tcBorders>
              <w:top w:color="FFFFFF" w:space="0" w:sz="8" w:val="single"/>
              <w:left w:color="FFFFFF" w:space="0" w:sz="8" w:val="single"/>
              <w:bottom w:color="FFFFFF" w:space="0" w:sz="24" w:val="single"/>
              <w:right w:color="FFFFFF" w:space="0" w:sz="8" w:val="single"/>
            </w:tcBorders>
            <w:shd w:fill="4F81BD" w:val="clear"/>
            <w:tcMar>
              <w:left w:type="dxa" w:w="18"/>
            </w:tcMar>
            <w:vAlign w:val="bottom"/>
          </w:tcPr>
          <w:p>
            <w:pPr>
              <w:pStyle w:val="style40"/>
              <w:spacing w:after="28" w:before="28"/>
              <w:contextualSpacing w:val="false"/>
            </w:pPr>
            <w:r>
              <w:rPr>
                <w:rFonts w:ascii="" w:cs="" w:hAnsi=""/>
                <w:b/>
                <w:bCs/>
                <w:sz w:val="18"/>
                <w:szCs w:val="18"/>
              </w:rPr>
              <w:t xml:space="preserve">Number of Books </w:t>
            </w:r>
          </w:p>
        </w:tc>
        <w:tc>
          <w:tcPr>
            <w:tcW w:type="dxa" w:w="1089"/>
            <w:tcBorders>
              <w:top w:color="FFFFFF" w:space="0" w:sz="8" w:val="single"/>
              <w:left w:color="FFFFFF" w:space="0" w:sz="8" w:val="single"/>
              <w:bottom w:color="FFFFFF" w:space="0" w:sz="24" w:val="single"/>
              <w:right w:color="FFFFFF" w:space="0" w:sz="8" w:val="single"/>
            </w:tcBorders>
            <w:shd w:fill="4F81BD" w:val="clear"/>
            <w:tcMar>
              <w:left w:type="dxa" w:w="18"/>
            </w:tcMar>
            <w:vAlign w:val="bottom"/>
          </w:tcPr>
          <w:p>
            <w:pPr>
              <w:pStyle w:val="style40"/>
              <w:spacing w:after="28" w:before="28"/>
              <w:contextualSpacing w:val="false"/>
            </w:pPr>
            <w:r>
              <w:rPr>
                <w:rFonts w:ascii="" w:cs="" w:hAnsi=""/>
                <w:b/>
                <w:bCs/>
                <w:sz w:val="18"/>
                <w:szCs w:val="18"/>
              </w:rPr>
              <w:t xml:space="preserve">Total Checkout </w:t>
            </w:r>
          </w:p>
        </w:tc>
        <w:tc>
          <w:tcPr>
            <w:tcW w:type="dxa" w:w="1038"/>
            <w:tcBorders>
              <w:top w:color="FFFFFF" w:space="0" w:sz="8" w:val="single"/>
              <w:left w:color="FFFFFF" w:space="0" w:sz="8" w:val="single"/>
              <w:bottom w:color="FFFFFF" w:space="0" w:sz="24" w:val="single"/>
              <w:right w:color="FFFFFF" w:space="0" w:sz="8" w:val="single"/>
            </w:tcBorders>
            <w:shd w:fill="00B050" w:val="clear"/>
            <w:tcMar>
              <w:left w:type="dxa" w:w="18"/>
            </w:tcMar>
            <w:vAlign w:val="bottom"/>
          </w:tcPr>
          <w:p>
            <w:pPr>
              <w:pStyle w:val="style40"/>
              <w:spacing w:after="28" w:before="28"/>
              <w:contextualSpacing w:val="false"/>
            </w:pPr>
            <w:r>
              <w:rPr>
                <w:rFonts w:ascii="" w:cs="" w:hAnsi=""/>
                <w:b/>
                <w:bCs/>
                <w:sz w:val="18"/>
                <w:szCs w:val="18"/>
              </w:rPr>
              <w:t>h-index=45</w:t>
            </w:r>
          </w:p>
        </w:tc>
      </w:tr>
      <w:tr>
        <w:trPr>
          <w:trHeight w:hRule="atLeast" w:val="232"/>
          <w:cantSplit w:val="false"/>
        </w:trPr>
        <w:tc>
          <w:tcPr>
            <w:tcW w:type="dxa" w:w="919"/>
            <w:tcBorders>
              <w:top w:color="FFFFFF" w:space="0" w:sz="24"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1</w:t>
            </w:r>
          </w:p>
        </w:tc>
        <w:tc>
          <w:tcPr>
            <w:tcW w:type="dxa" w:w="3268"/>
            <w:tcBorders>
              <w:top w:color="FFFFFF" w:space="0" w:sz="24" w:val="single"/>
              <w:left w:color="FFFFFF" w:space="0" w:sz="8" w:val="single"/>
              <w:bottom w:color="FFFFFF" w:space="0" w:sz="8" w:val="single"/>
              <w:right w:color="FFFFFF" w:space="0" w:sz="8" w:val="single"/>
            </w:tcBorders>
            <w:shd w:fill="FFFF00" w:val="clear"/>
            <w:tcMar>
              <w:left w:type="dxa" w:w="18"/>
            </w:tcMar>
            <w:vAlign w:val="bottom"/>
          </w:tcPr>
          <w:p>
            <w:pPr>
              <w:pStyle w:val="style40"/>
              <w:spacing w:after="28" w:before="28"/>
              <w:contextualSpacing w:val="false"/>
            </w:pPr>
            <w:r>
              <w:rPr>
                <w:rFonts w:ascii="" w:cs="" w:hAnsi=""/>
                <w:sz w:val="18"/>
                <w:szCs w:val="18"/>
              </w:rPr>
              <w:t xml:space="preserve"> </w:t>
            </w:r>
            <w:r>
              <w:rPr>
                <w:rFonts w:ascii="" w:cs="" w:hAnsi=""/>
                <w:sz w:val="18"/>
                <w:szCs w:val="18"/>
              </w:rPr>
              <w:t>Middle East</w:t>
            </w:r>
          </w:p>
        </w:tc>
        <w:tc>
          <w:tcPr>
            <w:tcW w:type="dxa" w:w="829"/>
            <w:tcBorders>
              <w:top w:color="FFFFFF" w:space="0" w:sz="24" w:val="single"/>
              <w:left w:color="FFFFFF" w:space="0" w:sz="8" w:val="single"/>
              <w:bottom w:color="FFFFFF" w:space="0" w:sz="8" w:val="single"/>
              <w:right w:color="FFFFFF" w:space="0" w:sz="8" w:val="single"/>
            </w:tcBorders>
            <w:shd w:fill="FFFF00" w:val="clear"/>
            <w:tcMar>
              <w:left w:type="dxa" w:w="18"/>
            </w:tcMar>
            <w:vAlign w:val="bottom"/>
          </w:tcPr>
          <w:p>
            <w:pPr>
              <w:pStyle w:val="style40"/>
              <w:spacing w:after="28" w:before="28"/>
              <w:contextualSpacing w:val="false"/>
            </w:pPr>
            <w:r>
              <w:rPr>
                <w:rFonts w:ascii="" w:cs="" w:hAnsi=""/>
                <w:sz w:val="18"/>
                <w:szCs w:val="18"/>
              </w:rPr>
              <w:t>956</w:t>
            </w:r>
          </w:p>
        </w:tc>
        <w:tc>
          <w:tcPr>
            <w:tcW w:type="dxa" w:w="953"/>
            <w:tcBorders>
              <w:top w:color="FFFFFF" w:space="0" w:sz="24" w:val="single"/>
              <w:left w:color="FFFFFF" w:space="0" w:sz="8" w:val="single"/>
              <w:bottom w:color="FFFFFF" w:space="0" w:sz="8" w:val="single"/>
              <w:right w:color="FFFFFF" w:space="0" w:sz="8" w:val="single"/>
            </w:tcBorders>
            <w:shd w:fill="FFFF00" w:val="clear"/>
            <w:tcMar>
              <w:left w:type="dxa" w:w="18"/>
            </w:tcMar>
            <w:vAlign w:val="bottom"/>
          </w:tcPr>
          <w:p>
            <w:pPr>
              <w:pStyle w:val="style40"/>
              <w:spacing w:after="28" w:before="28"/>
              <w:contextualSpacing w:val="false"/>
            </w:pPr>
            <w:r>
              <w:rPr>
                <w:rFonts w:ascii="" w:cs="" w:hAnsi=""/>
                <w:sz w:val="18"/>
                <w:szCs w:val="18"/>
              </w:rPr>
              <w:t>924</w:t>
            </w:r>
          </w:p>
        </w:tc>
        <w:tc>
          <w:tcPr>
            <w:tcW w:type="dxa" w:w="1089"/>
            <w:tcBorders>
              <w:top w:color="FFFFFF" w:space="0" w:sz="24" w:val="single"/>
              <w:left w:color="FFFFFF" w:space="0" w:sz="8" w:val="single"/>
              <w:bottom w:color="FFFFFF" w:space="0" w:sz="8" w:val="single"/>
              <w:right w:color="FFFFFF" w:space="0" w:sz="8" w:val="single"/>
            </w:tcBorders>
            <w:shd w:fill="FFFF00" w:val="clear"/>
            <w:tcMar>
              <w:left w:type="dxa" w:w="18"/>
            </w:tcMar>
            <w:vAlign w:val="bottom"/>
          </w:tcPr>
          <w:p>
            <w:pPr>
              <w:pStyle w:val="style40"/>
              <w:spacing w:after="28" w:before="28"/>
              <w:contextualSpacing w:val="false"/>
            </w:pPr>
            <w:r>
              <w:rPr>
                <w:rFonts w:ascii="" w:cs="" w:hAnsi=""/>
                <w:sz w:val="18"/>
                <w:szCs w:val="18"/>
              </w:rPr>
              <w:t>3165</w:t>
            </w:r>
          </w:p>
        </w:tc>
        <w:tc>
          <w:tcPr>
            <w:tcW w:type="dxa" w:w="1038"/>
            <w:vMerge w:val="restart"/>
            <w:tcBorders>
              <w:top w:color="FFFFFF" w:space="0" w:sz="24"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r>
          </w:p>
        </w:tc>
      </w:tr>
      <w:tr>
        <w:trPr>
          <w:trHeight w:hRule="atLeast" w:val="259"/>
          <w:cantSplit w:val="false"/>
        </w:trPr>
        <w:tc>
          <w:tcPr>
            <w:tcW w:type="dxa" w:w="919"/>
            <w:tcBorders>
              <w:top w:color="FFFFFF" w:space="0" w:sz="8"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2</w:t>
            </w:r>
          </w:p>
        </w:tc>
        <w:tc>
          <w:tcPr>
            <w:tcW w:type="dxa" w:w="3268"/>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 xml:space="preserve"> </w:t>
            </w:r>
            <w:r>
              <w:rPr>
                <w:rFonts w:ascii="" w:cs="" w:hAnsi=""/>
                <w:sz w:val="18"/>
                <w:szCs w:val="18"/>
              </w:rPr>
              <w:t>Political Science- International Relations</w:t>
            </w:r>
          </w:p>
        </w:tc>
        <w:tc>
          <w:tcPr>
            <w:tcW w:type="dxa" w:w="829"/>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327</w:t>
            </w:r>
          </w:p>
        </w:tc>
        <w:tc>
          <w:tcPr>
            <w:tcW w:type="dxa" w:w="953"/>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506</w:t>
            </w:r>
          </w:p>
        </w:tc>
        <w:tc>
          <w:tcPr>
            <w:tcW w:type="dxa" w:w="1089"/>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1913</w:t>
            </w:r>
          </w:p>
        </w:tc>
        <w:tc>
          <w:tcPr>
            <w:tcW w:type="dxa" w:w="1038"/>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 w:cs="" w:hAnsi=""/>
                <w:sz w:val="18"/>
                <w:szCs w:val="18"/>
              </w:rPr>
            </w:r>
          </w:p>
        </w:tc>
      </w:tr>
      <w:tr>
        <w:trPr>
          <w:trHeight w:hRule="atLeast" w:val="232"/>
          <w:cantSplit w:val="false"/>
        </w:trPr>
        <w:tc>
          <w:tcPr>
            <w:tcW w:type="dxa" w:w="919"/>
            <w:tcBorders>
              <w:top w:color="FFFFFF" w:space="0" w:sz="8"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3</w:t>
            </w:r>
          </w:p>
        </w:tc>
        <w:tc>
          <w:tcPr>
            <w:tcW w:type="dxa" w:w="3268"/>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 </w:t>
            </w:r>
            <w:r>
              <w:rPr>
                <w:rFonts w:ascii="" w:cs="" w:hAnsi=""/>
                <w:sz w:val="18"/>
                <w:szCs w:val="18"/>
              </w:rPr>
              <w:t>Groups of people</w:t>
            </w:r>
          </w:p>
        </w:tc>
        <w:tc>
          <w:tcPr>
            <w:tcW w:type="dxa" w:w="829"/>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305</w:t>
            </w:r>
          </w:p>
        </w:tc>
        <w:tc>
          <w:tcPr>
            <w:tcW w:type="dxa" w:w="953"/>
            <w:tcBorders>
              <w:top w:color="FFFFFF" w:space="0" w:sz="8" w:val="single"/>
              <w:left w:color="FFFFFF" w:space="0" w:sz="8" w:val="single"/>
              <w:bottom w:color="FFFFFF" w:space="0" w:sz="8" w:val="single"/>
              <w:right w:color="FFFFFF" w:space="0" w:sz="8" w:val="single"/>
            </w:tcBorders>
            <w:shd w:fill="FFC000" w:val="clear"/>
            <w:tcMar>
              <w:left w:type="dxa" w:w="18"/>
            </w:tcMar>
            <w:vAlign w:val="bottom"/>
          </w:tcPr>
          <w:p>
            <w:pPr>
              <w:pStyle w:val="style40"/>
              <w:spacing w:after="28" w:before="28"/>
              <w:contextualSpacing w:val="false"/>
            </w:pPr>
            <w:r>
              <w:rPr>
                <w:rFonts w:ascii="" w:cs="" w:hAnsi=""/>
                <w:sz w:val="18"/>
                <w:szCs w:val="18"/>
              </w:rPr>
              <w:t>99</w:t>
            </w:r>
          </w:p>
        </w:tc>
        <w:tc>
          <w:tcPr>
            <w:tcW w:type="dxa" w:w="1089"/>
            <w:tcBorders>
              <w:top w:color="FFFFFF" w:space="0" w:sz="8" w:val="single"/>
              <w:left w:color="FFFFFF" w:space="0" w:sz="8" w:val="single"/>
              <w:bottom w:color="FFFFFF" w:space="0" w:sz="8" w:val="single"/>
              <w:right w:color="FFFFFF" w:space="0" w:sz="8" w:val="single"/>
            </w:tcBorders>
            <w:shd w:fill="FFC000" w:val="clear"/>
            <w:tcMar>
              <w:left w:type="dxa" w:w="18"/>
            </w:tcMar>
            <w:vAlign w:val="bottom"/>
          </w:tcPr>
          <w:p>
            <w:pPr>
              <w:pStyle w:val="style40"/>
              <w:spacing w:after="28" w:before="28"/>
              <w:contextualSpacing w:val="false"/>
            </w:pPr>
            <w:r>
              <w:rPr>
                <w:rFonts w:ascii="" w:cs="" w:hAnsi=""/>
                <w:sz w:val="18"/>
                <w:szCs w:val="18"/>
              </w:rPr>
              <w:t>1030</w:t>
            </w:r>
          </w:p>
        </w:tc>
        <w:tc>
          <w:tcPr>
            <w:tcW w:type="dxa" w:w="1038"/>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 w:cs="" w:hAnsi=""/>
                <w:sz w:val="18"/>
                <w:szCs w:val="18"/>
              </w:rPr>
            </w:r>
          </w:p>
        </w:tc>
      </w:tr>
      <w:tr>
        <w:trPr>
          <w:trHeight w:hRule="atLeast" w:val="262"/>
          <w:cantSplit w:val="false"/>
        </w:trPr>
        <w:tc>
          <w:tcPr>
            <w:tcW w:type="dxa" w:w="919"/>
            <w:tcBorders>
              <w:top w:color="FFFFFF" w:space="0" w:sz="8"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4</w:t>
            </w:r>
          </w:p>
        </w:tc>
        <w:tc>
          <w:tcPr>
            <w:tcW w:type="dxa" w:w="3268"/>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 </w:t>
            </w:r>
            <w:r>
              <w:rPr>
                <w:rFonts w:ascii="" w:cs="" w:hAnsi=""/>
                <w:sz w:val="18"/>
                <w:szCs w:val="18"/>
              </w:rPr>
              <w:t>Political science (Politics and government)</w:t>
            </w:r>
          </w:p>
        </w:tc>
        <w:tc>
          <w:tcPr>
            <w:tcW w:type="dxa" w:w="829"/>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320</w:t>
            </w:r>
          </w:p>
        </w:tc>
        <w:tc>
          <w:tcPr>
            <w:tcW w:type="dxa" w:w="953"/>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219</w:t>
            </w:r>
          </w:p>
        </w:tc>
        <w:tc>
          <w:tcPr>
            <w:tcW w:type="dxa" w:w="1089"/>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988</w:t>
            </w:r>
          </w:p>
        </w:tc>
        <w:tc>
          <w:tcPr>
            <w:tcW w:type="dxa" w:w="1038"/>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 w:cs="" w:hAnsi=""/>
                <w:sz w:val="18"/>
                <w:szCs w:val="18"/>
              </w:rPr>
            </w:r>
          </w:p>
        </w:tc>
      </w:tr>
      <w:tr>
        <w:trPr>
          <w:trHeight w:hRule="atLeast" w:val="300"/>
          <w:cantSplit w:val="false"/>
        </w:trPr>
        <w:tc>
          <w:tcPr>
            <w:tcW w:type="dxa" w:w="919"/>
            <w:tcBorders>
              <w:top w:color="FFFFFF" w:space="0" w:sz="8"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5</w:t>
            </w:r>
          </w:p>
        </w:tc>
        <w:tc>
          <w:tcPr>
            <w:tcW w:type="dxa" w:w="3268"/>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 xml:space="preserve"> </w:t>
            </w:r>
            <w:r>
              <w:rPr>
                <w:rFonts w:ascii="" w:cs="" w:hAnsi=""/>
                <w:sz w:val="18"/>
                <w:szCs w:val="18"/>
              </w:rPr>
              <w:t>Other parts of ancient world</w:t>
            </w:r>
          </w:p>
        </w:tc>
        <w:tc>
          <w:tcPr>
            <w:tcW w:type="dxa" w:w="829"/>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939</w:t>
            </w:r>
          </w:p>
        </w:tc>
        <w:tc>
          <w:tcPr>
            <w:tcW w:type="dxa" w:w="953"/>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171</w:t>
            </w:r>
          </w:p>
        </w:tc>
        <w:tc>
          <w:tcPr>
            <w:tcW w:type="dxa" w:w="1089"/>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542</w:t>
            </w:r>
          </w:p>
        </w:tc>
        <w:tc>
          <w:tcPr>
            <w:tcW w:type="dxa" w:w="1038"/>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 w:cs="" w:hAnsi=""/>
                <w:sz w:val="18"/>
                <w:szCs w:val="18"/>
              </w:rPr>
            </w:r>
          </w:p>
        </w:tc>
      </w:tr>
      <w:tr>
        <w:trPr>
          <w:trHeight w:hRule="atLeast" w:val="232"/>
          <w:cantSplit w:val="false"/>
        </w:trPr>
        <w:tc>
          <w:tcPr>
            <w:tcW w:type="dxa" w:w="919"/>
            <w:tcBorders>
              <w:top w:color="FFFFFF" w:space="0" w:sz="8"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6</w:t>
            </w:r>
          </w:p>
        </w:tc>
        <w:tc>
          <w:tcPr>
            <w:tcW w:type="dxa" w:w="3268"/>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 </w:t>
            </w:r>
            <w:r>
              <w:rPr>
                <w:rFonts w:ascii="" w:cs="" w:hAnsi=""/>
                <w:sz w:val="18"/>
                <w:szCs w:val="18"/>
              </w:rPr>
              <w:t>Production</w:t>
            </w:r>
          </w:p>
        </w:tc>
        <w:tc>
          <w:tcPr>
            <w:tcW w:type="dxa" w:w="829"/>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338</w:t>
            </w:r>
          </w:p>
        </w:tc>
        <w:tc>
          <w:tcPr>
            <w:tcW w:type="dxa" w:w="953"/>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147</w:t>
            </w:r>
          </w:p>
        </w:tc>
        <w:tc>
          <w:tcPr>
            <w:tcW w:type="dxa" w:w="1089"/>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481</w:t>
            </w:r>
          </w:p>
        </w:tc>
        <w:tc>
          <w:tcPr>
            <w:tcW w:type="dxa" w:w="1038"/>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 w:cs="" w:hAnsi=""/>
                <w:sz w:val="18"/>
                <w:szCs w:val="18"/>
              </w:rPr>
            </w:r>
          </w:p>
        </w:tc>
      </w:tr>
      <w:tr>
        <w:trPr>
          <w:trHeight w:hRule="atLeast" w:val="240"/>
          <w:cantSplit w:val="false"/>
        </w:trPr>
        <w:tc>
          <w:tcPr>
            <w:tcW w:type="dxa" w:w="919"/>
            <w:tcBorders>
              <w:top w:color="FFFFFF" w:space="0" w:sz="8"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7</w:t>
            </w:r>
          </w:p>
        </w:tc>
        <w:tc>
          <w:tcPr>
            <w:tcW w:type="dxa" w:w="3268"/>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 </w:t>
            </w:r>
            <w:r>
              <w:rPr>
                <w:rFonts w:ascii="" w:cs="" w:hAnsi=""/>
                <w:sz w:val="18"/>
                <w:szCs w:val="18"/>
              </w:rPr>
              <w:t>Economics of land and energy</w:t>
            </w:r>
          </w:p>
        </w:tc>
        <w:tc>
          <w:tcPr>
            <w:tcW w:type="dxa" w:w="829"/>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333</w:t>
            </w:r>
          </w:p>
        </w:tc>
        <w:tc>
          <w:tcPr>
            <w:tcW w:type="dxa" w:w="953"/>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64</w:t>
            </w:r>
          </w:p>
        </w:tc>
        <w:tc>
          <w:tcPr>
            <w:tcW w:type="dxa" w:w="1089"/>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411</w:t>
            </w:r>
          </w:p>
        </w:tc>
        <w:tc>
          <w:tcPr>
            <w:tcW w:type="dxa" w:w="1038"/>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 w:cs="" w:hAnsi=""/>
                <w:sz w:val="18"/>
                <w:szCs w:val="18"/>
              </w:rPr>
            </w:r>
          </w:p>
        </w:tc>
      </w:tr>
      <w:tr>
        <w:trPr>
          <w:trHeight w:hRule="atLeast" w:val="232"/>
          <w:cantSplit w:val="false"/>
        </w:trPr>
        <w:tc>
          <w:tcPr>
            <w:tcW w:type="dxa" w:w="919"/>
            <w:tcBorders>
              <w:top w:color="FFFFFF" w:space="0" w:sz="8"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8</w:t>
            </w:r>
          </w:p>
        </w:tc>
        <w:tc>
          <w:tcPr>
            <w:tcW w:type="dxa" w:w="3268"/>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 </w:t>
            </w:r>
            <w:r>
              <w:rPr>
                <w:rFonts w:ascii="" w:cs="" w:hAnsi=""/>
                <w:sz w:val="18"/>
                <w:szCs w:val="18"/>
              </w:rPr>
              <w:t>Culture and institutions</w:t>
            </w:r>
          </w:p>
        </w:tc>
        <w:tc>
          <w:tcPr>
            <w:tcW w:type="dxa" w:w="829"/>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306</w:t>
            </w:r>
          </w:p>
        </w:tc>
        <w:tc>
          <w:tcPr>
            <w:tcW w:type="dxa" w:w="953"/>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50</w:t>
            </w:r>
          </w:p>
        </w:tc>
        <w:tc>
          <w:tcPr>
            <w:tcW w:type="dxa" w:w="1089"/>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396</w:t>
            </w:r>
          </w:p>
        </w:tc>
        <w:tc>
          <w:tcPr>
            <w:tcW w:type="dxa" w:w="1038"/>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 w:cs="" w:hAnsi=""/>
                <w:sz w:val="18"/>
                <w:szCs w:val="18"/>
              </w:rPr>
            </w:r>
          </w:p>
        </w:tc>
      </w:tr>
      <w:tr>
        <w:trPr>
          <w:trHeight w:hRule="atLeast" w:val="392"/>
          <w:cantSplit w:val="false"/>
        </w:trPr>
        <w:tc>
          <w:tcPr>
            <w:tcW w:type="dxa" w:w="919"/>
            <w:tcBorders>
              <w:top w:color="FFFFFF" w:space="0" w:sz="8"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9</w:t>
            </w:r>
          </w:p>
        </w:tc>
        <w:tc>
          <w:tcPr>
            <w:tcW w:type="dxa" w:w="3268"/>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 </w:t>
            </w:r>
            <w:r>
              <w:rPr>
                <w:rFonts w:ascii="" w:cs="" w:hAnsi=""/>
                <w:sz w:val="18"/>
                <w:szCs w:val="18"/>
              </w:rPr>
              <w:t>Relation of the state to organized groups and their members</w:t>
            </w:r>
          </w:p>
        </w:tc>
        <w:tc>
          <w:tcPr>
            <w:tcW w:type="dxa" w:w="829"/>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322</w:t>
            </w:r>
          </w:p>
        </w:tc>
        <w:tc>
          <w:tcPr>
            <w:tcW w:type="dxa" w:w="953"/>
            <w:tcBorders>
              <w:top w:color="FFFFFF" w:space="0" w:sz="8" w:val="single"/>
              <w:left w:color="FFFFFF" w:space="0" w:sz="8" w:val="single"/>
              <w:bottom w:color="FFFFFF" w:space="0" w:sz="8" w:val="single"/>
              <w:right w:color="FFFFFF" w:space="0" w:sz="8" w:val="single"/>
            </w:tcBorders>
            <w:shd w:fill="FFC000" w:val="clear"/>
            <w:tcMar>
              <w:left w:type="dxa" w:w="18"/>
            </w:tcMar>
            <w:vAlign w:val="bottom"/>
          </w:tcPr>
          <w:p>
            <w:pPr>
              <w:pStyle w:val="style40"/>
              <w:spacing w:after="28" w:before="28"/>
              <w:contextualSpacing w:val="false"/>
            </w:pPr>
            <w:r>
              <w:rPr>
                <w:rFonts w:ascii="" w:cs="" w:hAnsi=""/>
                <w:sz w:val="18"/>
                <w:szCs w:val="18"/>
              </w:rPr>
              <w:t>28</w:t>
            </w:r>
          </w:p>
        </w:tc>
        <w:tc>
          <w:tcPr>
            <w:tcW w:type="dxa" w:w="1089"/>
            <w:tcBorders>
              <w:top w:color="FFFFFF" w:space="0" w:sz="8" w:val="single"/>
              <w:left w:color="FFFFFF" w:space="0" w:sz="8" w:val="single"/>
              <w:bottom w:color="FFFFFF" w:space="0" w:sz="8" w:val="single"/>
              <w:right w:color="FFFFFF" w:space="0" w:sz="8" w:val="single"/>
            </w:tcBorders>
            <w:shd w:fill="FFC000" w:val="clear"/>
            <w:tcMar>
              <w:left w:type="dxa" w:w="18"/>
            </w:tcMar>
            <w:vAlign w:val="bottom"/>
          </w:tcPr>
          <w:p>
            <w:pPr>
              <w:pStyle w:val="style40"/>
              <w:spacing w:after="28" w:before="28"/>
              <w:contextualSpacing w:val="false"/>
            </w:pPr>
            <w:r>
              <w:rPr>
                <w:rFonts w:ascii="" w:cs="" w:hAnsi=""/>
                <w:sz w:val="18"/>
                <w:szCs w:val="18"/>
              </w:rPr>
              <w:t>306</w:t>
            </w:r>
          </w:p>
        </w:tc>
        <w:tc>
          <w:tcPr>
            <w:tcW w:type="dxa" w:w="1038"/>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 w:cs="" w:hAnsi=""/>
                <w:sz w:val="18"/>
                <w:szCs w:val="18"/>
              </w:rPr>
            </w:r>
          </w:p>
        </w:tc>
      </w:tr>
      <w:tr>
        <w:trPr>
          <w:trHeight w:hRule="atLeast" w:val="232"/>
          <w:cantSplit w:val="false"/>
        </w:trPr>
        <w:tc>
          <w:tcPr>
            <w:tcW w:type="dxa" w:w="919"/>
            <w:tcBorders>
              <w:top w:color="FFFFFF" w:space="0" w:sz="8"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10</w:t>
            </w:r>
          </w:p>
        </w:tc>
        <w:tc>
          <w:tcPr>
            <w:tcW w:type="dxa" w:w="3268"/>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 </w:t>
            </w:r>
            <w:r>
              <w:rPr>
                <w:rFonts w:ascii="" w:cs="" w:hAnsi=""/>
                <w:sz w:val="18"/>
                <w:szCs w:val="18"/>
              </w:rPr>
              <w:t>Social processes</w:t>
            </w:r>
          </w:p>
        </w:tc>
        <w:tc>
          <w:tcPr>
            <w:tcW w:type="dxa" w:w="829"/>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303</w:t>
            </w:r>
          </w:p>
        </w:tc>
        <w:tc>
          <w:tcPr>
            <w:tcW w:type="dxa" w:w="953"/>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62</w:t>
            </w:r>
          </w:p>
        </w:tc>
        <w:tc>
          <w:tcPr>
            <w:tcW w:type="dxa" w:w="1089"/>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306</w:t>
            </w:r>
          </w:p>
        </w:tc>
        <w:tc>
          <w:tcPr>
            <w:tcW w:type="dxa" w:w="1038"/>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 w:cs="" w:hAnsi=""/>
                <w:sz w:val="18"/>
                <w:szCs w:val="18"/>
              </w:rPr>
            </w:r>
          </w:p>
        </w:tc>
      </w:tr>
      <w:tr>
        <w:trPr>
          <w:trHeight w:hRule="atLeast" w:val="232"/>
          <w:cantSplit w:val="false"/>
        </w:trPr>
        <w:tc>
          <w:tcPr>
            <w:tcW w:type="dxa" w:w="919"/>
            <w:tcBorders>
              <w:top w:color="FFFFFF" w:space="0" w:sz="8"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11</w:t>
            </w:r>
          </w:p>
        </w:tc>
        <w:tc>
          <w:tcPr>
            <w:tcW w:type="dxa" w:w="3268"/>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 </w:t>
            </w:r>
            <w:r>
              <w:rPr>
                <w:rFonts w:ascii="" w:cs="" w:hAnsi=""/>
                <w:sz w:val="18"/>
                <w:szCs w:val="18"/>
              </w:rPr>
              <w:t>History of Asia</w:t>
            </w:r>
          </w:p>
        </w:tc>
        <w:tc>
          <w:tcPr>
            <w:tcW w:type="dxa" w:w="829"/>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950</w:t>
            </w:r>
          </w:p>
        </w:tc>
        <w:tc>
          <w:tcPr>
            <w:tcW w:type="dxa" w:w="953"/>
            <w:tcBorders>
              <w:top w:color="FFFFFF" w:space="0" w:sz="8" w:val="single"/>
              <w:left w:color="FFFFFF" w:space="0" w:sz="8" w:val="single"/>
              <w:bottom w:color="FFFFFF" w:space="0" w:sz="8" w:val="single"/>
              <w:right w:color="FFFFFF" w:space="0" w:sz="8" w:val="single"/>
            </w:tcBorders>
            <w:shd w:fill="FFC000" w:val="clear"/>
            <w:tcMar>
              <w:left w:type="dxa" w:w="18"/>
            </w:tcMar>
            <w:vAlign w:val="bottom"/>
          </w:tcPr>
          <w:p>
            <w:pPr>
              <w:pStyle w:val="style40"/>
              <w:spacing w:after="28" w:before="28"/>
              <w:contextualSpacing w:val="false"/>
            </w:pPr>
            <w:r>
              <w:rPr>
                <w:rFonts w:ascii="" w:cs="" w:hAnsi=""/>
                <w:sz w:val="18"/>
                <w:szCs w:val="18"/>
              </w:rPr>
              <w:t>29</w:t>
            </w:r>
          </w:p>
        </w:tc>
        <w:tc>
          <w:tcPr>
            <w:tcW w:type="dxa" w:w="1089"/>
            <w:tcBorders>
              <w:top w:color="FFFFFF" w:space="0" w:sz="8" w:val="single"/>
              <w:left w:color="FFFFFF" w:space="0" w:sz="8" w:val="single"/>
              <w:bottom w:color="FFFFFF" w:space="0" w:sz="8" w:val="single"/>
              <w:right w:color="FFFFFF" w:space="0" w:sz="8" w:val="single"/>
            </w:tcBorders>
            <w:shd w:fill="FFC000" w:val="clear"/>
            <w:tcMar>
              <w:left w:type="dxa" w:w="18"/>
            </w:tcMar>
            <w:vAlign w:val="bottom"/>
          </w:tcPr>
          <w:p>
            <w:pPr>
              <w:pStyle w:val="style40"/>
              <w:spacing w:after="28" w:before="28"/>
              <w:contextualSpacing w:val="false"/>
            </w:pPr>
            <w:r>
              <w:rPr>
                <w:rFonts w:ascii="" w:cs="" w:hAnsi=""/>
                <w:sz w:val="18"/>
                <w:szCs w:val="18"/>
              </w:rPr>
              <w:t>301</w:t>
            </w:r>
          </w:p>
        </w:tc>
        <w:tc>
          <w:tcPr>
            <w:tcW w:type="dxa" w:w="1038"/>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 w:cs="" w:hAnsi=""/>
                <w:sz w:val="18"/>
                <w:szCs w:val="18"/>
              </w:rPr>
            </w:r>
          </w:p>
        </w:tc>
      </w:tr>
      <w:tr>
        <w:trPr>
          <w:trHeight w:hRule="atLeast" w:val="232"/>
          <w:cantSplit w:val="false"/>
        </w:trPr>
        <w:tc>
          <w:tcPr>
            <w:tcW w:type="dxa" w:w="919"/>
            <w:tcBorders>
              <w:top w:color="FFFFFF" w:space="0" w:sz="8"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12</w:t>
            </w:r>
          </w:p>
        </w:tc>
        <w:tc>
          <w:tcPr>
            <w:tcW w:type="dxa" w:w="3268"/>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 xml:space="preserve"> </w:t>
            </w:r>
            <w:r>
              <w:rPr>
                <w:rFonts w:ascii="" w:cs="" w:hAnsi=""/>
                <w:sz w:val="18"/>
                <w:szCs w:val="18"/>
              </w:rPr>
              <w:t>Economics</w:t>
            </w:r>
          </w:p>
        </w:tc>
        <w:tc>
          <w:tcPr>
            <w:tcW w:type="dxa" w:w="829"/>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330</w:t>
            </w:r>
          </w:p>
        </w:tc>
        <w:tc>
          <w:tcPr>
            <w:tcW w:type="dxa" w:w="953"/>
            <w:tcBorders>
              <w:top w:color="FFFFFF" w:space="0" w:sz="8" w:val="single"/>
              <w:left w:color="FFFFFF" w:space="0" w:sz="8" w:val="single"/>
              <w:bottom w:color="FFFFFF" w:space="0" w:sz="8" w:val="single"/>
              <w:right w:color="FFFFFF" w:space="0" w:sz="8" w:val="single"/>
            </w:tcBorders>
            <w:shd w:fill="FF0000" w:val="clear"/>
            <w:tcMar>
              <w:left w:type="dxa" w:w="18"/>
            </w:tcMar>
            <w:vAlign w:val="bottom"/>
          </w:tcPr>
          <w:p>
            <w:pPr>
              <w:pStyle w:val="style40"/>
              <w:spacing w:after="28" w:before="28"/>
              <w:contextualSpacing w:val="false"/>
            </w:pPr>
            <w:r>
              <w:rPr>
                <w:rFonts w:ascii="" w:cs="" w:hAnsi=""/>
                <w:sz w:val="18"/>
                <w:szCs w:val="18"/>
              </w:rPr>
              <w:t>135</w:t>
            </w:r>
          </w:p>
        </w:tc>
        <w:tc>
          <w:tcPr>
            <w:tcW w:type="dxa" w:w="1089"/>
            <w:tcBorders>
              <w:top w:color="FFFFFF" w:space="0" w:sz="8" w:val="single"/>
              <w:left w:color="FFFFFF" w:space="0" w:sz="8" w:val="single"/>
              <w:bottom w:color="FFFFFF" w:space="0" w:sz="8" w:val="single"/>
              <w:right w:color="FFFFFF" w:space="0" w:sz="8" w:val="single"/>
            </w:tcBorders>
            <w:shd w:fill="FF0000" w:val="clear"/>
            <w:tcMar>
              <w:left w:type="dxa" w:w="18"/>
            </w:tcMar>
            <w:vAlign w:val="bottom"/>
          </w:tcPr>
          <w:p>
            <w:pPr>
              <w:pStyle w:val="style40"/>
              <w:spacing w:after="28" w:before="28"/>
              <w:contextualSpacing w:val="false"/>
            </w:pPr>
            <w:r>
              <w:rPr>
                <w:rFonts w:ascii="" w:cs="" w:hAnsi=""/>
                <w:sz w:val="18"/>
                <w:szCs w:val="18"/>
              </w:rPr>
              <w:t>299</w:t>
            </w:r>
          </w:p>
        </w:tc>
        <w:tc>
          <w:tcPr>
            <w:tcW w:type="dxa" w:w="1038"/>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 w:cs="" w:hAnsi=""/>
                <w:sz w:val="18"/>
                <w:szCs w:val="18"/>
              </w:rPr>
            </w:r>
          </w:p>
        </w:tc>
      </w:tr>
      <w:tr>
        <w:trPr>
          <w:trHeight w:hRule="atLeast" w:val="232"/>
          <w:cantSplit w:val="false"/>
        </w:trPr>
        <w:tc>
          <w:tcPr>
            <w:tcW w:type="dxa" w:w="919"/>
            <w:tcBorders>
              <w:top w:color="FFFFFF" w:space="0" w:sz="8"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20</w:t>
            </w:r>
          </w:p>
        </w:tc>
        <w:tc>
          <w:tcPr>
            <w:tcW w:type="dxa" w:w="3268"/>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 </w:t>
            </w:r>
            <w:r>
              <w:rPr>
                <w:rFonts w:ascii="" w:cs="" w:hAnsi=""/>
                <w:sz w:val="18"/>
                <w:szCs w:val="18"/>
              </w:rPr>
              <w:t>History of Sociology</w:t>
            </w:r>
          </w:p>
        </w:tc>
        <w:tc>
          <w:tcPr>
            <w:tcW w:type="dxa" w:w="829"/>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309</w:t>
            </w:r>
          </w:p>
        </w:tc>
        <w:tc>
          <w:tcPr>
            <w:tcW w:type="dxa" w:w="953"/>
            <w:tcBorders>
              <w:top w:color="FFFFFF" w:space="0" w:sz="8" w:val="single"/>
              <w:left w:color="FFFFFF" w:space="0" w:sz="8" w:val="single"/>
              <w:bottom w:color="FFFFFF" w:space="0" w:sz="8" w:val="single"/>
              <w:right w:color="FFFFFF" w:space="0" w:sz="8" w:val="single"/>
            </w:tcBorders>
            <w:shd w:fill="FFC000" w:val="clear"/>
            <w:tcMar>
              <w:left w:type="dxa" w:w="18"/>
            </w:tcMar>
            <w:vAlign w:val="bottom"/>
          </w:tcPr>
          <w:p>
            <w:pPr>
              <w:pStyle w:val="style40"/>
              <w:spacing w:after="28" w:before="28"/>
              <w:contextualSpacing w:val="false"/>
            </w:pPr>
            <w:r>
              <w:rPr>
                <w:rFonts w:ascii="" w:cs="" w:hAnsi=""/>
                <w:sz w:val="18"/>
                <w:szCs w:val="18"/>
              </w:rPr>
              <w:t>38</w:t>
            </w:r>
          </w:p>
        </w:tc>
        <w:tc>
          <w:tcPr>
            <w:tcW w:type="dxa" w:w="1089"/>
            <w:tcBorders>
              <w:top w:color="FFFFFF" w:space="0" w:sz="8" w:val="single"/>
              <w:left w:color="FFFFFF" w:space="0" w:sz="8" w:val="single"/>
              <w:bottom w:color="FFFFFF" w:space="0" w:sz="8" w:val="single"/>
              <w:right w:color="FFFFFF" w:space="0" w:sz="8" w:val="single"/>
            </w:tcBorders>
            <w:shd w:fill="FFC000" w:val="clear"/>
            <w:tcMar>
              <w:left w:type="dxa" w:w="18"/>
            </w:tcMar>
            <w:vAlign w:val="bottom"/>
          </w:tcPr>
          <w:p>
            <w:pPr>
              <w:pStyle w:val="style40"/>
              <w:spacing w:after="28" w:before="28"/>
              <w:contextualSpacing w:val="false"/>
            </w:pPr>
            <w:r>
              <w:rPr>
                <w:rFonts w:ascii="" w:cs="" w:hAnsi=""/>
                <w:sz w:val="18"/>
                <w:szCs w:val="18"/>
              </w:rPr>
              <w:t>136</w:t>
            </w:r>
          </w:p>
        </w:tc>
        <w:tc>
          <w:tcPr>
            <w:tcW w:type="dxa" w:w="1038"/>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 w:cs="" w:hAnsi=""/>
                <w:sz w:val="18"/>
                <w:szCs w:val="18"/>
              </w:rPr>
            </w:r>
          </w:p>
        </w:tc>
      </w:tr>
      <w:tr>
        <w:trPr>
          <w:trHeight w:hRule="atLeast" w:val="232"/>
          <w:cantSplit w:val="false"/>
        </w:trPr>
        <w:tc>
          <w:tcPr>
            <w:tcW w:type="dxa" w:w="919"/>
            <w:tcBorders>
              <w:top w:color="FFFFFF" w:space="0" w:sz="8"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31</w:t>
            </w:r>
          </w:p>
        </w:tc>
        <w:tc>
          <w:tcPr>
            <w:tcW w:type="dxa" w:w="3268"/>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 </w:t>
            </w:r>
            <w:r>
              <w:rPr>
                <w:rFonts w:ascii="" w:cs="" w:hAnsi=""/>
                <w:sz w:val="18"/>
                <w:szCs w:val="18"/>
              </w:rPr>
              <w:t xml:space="preserve">General customs </w:t>
            </w:r>
          </w:p>
        </w:tc>
        <w:tc>
          <w:tcPr>
            <w:tcW w:type="dxa" w:w="829"/>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394</w:t>
            </w:r>
          </w:p>
        </w:tc>
        <w:tc>
          <w:tcPr>
            <w:tcW w:type="dxa" w:w="953"/>
            <w:tcBorders>
              <w:top w:color="FFFFFF" w:space="0" w:sz="8" w:val="single"/>
              <w:left w:color="FFFFFF" w:space="0" w:sz="8" w:val="single"/>
              <w:bottom w:color="FFFFFF" w:space="0" w:sz="8" w:val="single"/>
              <w:right w:color="FFFFFF" w:space="0" w:sz="8" w:val="single"/>
            </w:tcBorders>
            <w:shd w:fill="FFC000" w:val="clear"/>
            <w:tcMar>
              <w:left w:type="dxa" w:w="18"/>
            </w:tcMar>
            <w:vAlign w:val="bottom"/>
          </w:tcPr>
          <w:p>
            <w:pPr>
              <w:pStyle w:val="style40"/>
              <w:spacing w:after="28" w:before="28"/>
              <w:contextualSpacing w:val="false"/>
            </w:pPr>
            <w:r>
              <w:rPr>
                <w:rFonts w:ascii="" w:cs="" w:hAnsi=""/>
                <w:sz w:val="18"/>
                <w:szCs w:val="18"/>
              </w:rPr>
              <w:t>4</w:t>
            </w:r>
          </w:p>
        </w:tc>
        <w:tc>
          <w:tcPr>
            <w:tcW w:type="dxa" w:w="1089"/>
            <w:tcBorders>
              <w:top w:color="FFFFFF" w:space="0" w:sz="8" w:val="single"/>
              <w:left w:color="FFFFFF" w:space="0" w:sz="8" w:val="single"/>
              <w:bottom w:color="FFFFFF" w:space="0" w:sz="8" w:val="single"/>
              <w:right w:color="FFFFFF" w:space="0" w:sz="8" w:val="single"/>
            </w:tcBorders>
            <w:shd w:fill="FFC000" w:val="clear"/>
            <w:tcMar>
              <w:left w:type="dxa" w:w="18"/>
            </w:tcMar>
            <w:vAlign w:val="bottom"/>
          </w:tcPr>
          <w:p>
            <w:pPr>
              <w:pStyle w:val="style40"/>
              <w:spacing w:after="28" w:before="28"/>
              <w:contextualSpacing w:val="false"/>
            </w:pPr>
            <w:r>
              <w:rPr>
                <w:rFonts w:ascii="" w:cs="" w:hAnsi=""/>
                <w:sz w:val="18"/>
                <w:szCs w:val="18"/>
              </w:rPr>
              <w:t>74</w:t>
            </w:r>
          </w:p>
        </w:tc>
        <w:tc>
          <w:tcPr>
            <w:tcW w:type="dxa" w:w="1038"/>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 w:cs="" w:hAnsi=""/>
                <w:sz w:val="18"/>
                <w:szCs w:val="18"/>
              </w:rPr>
            </w:r>
          </w:p>
        </w:tc>
      </w:tr>
      <w:tr>
        <w:trPr>
          <w:trHeight w:hRule="atLeast" w:val="232"/>
          <w:cantSplit w:val="false"/>
        </w:trPr>
        <w:tc>
          <w:tcPr>
            <w:tcW w:type="dxa" w:w="919"/>
            <w:tcBorders>
              <w:top w:color="FFFFFF" w:space="0" w:sz="8"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32</w:t>
            </w:r>
          </w:p>
        </w:tc>
        <w:tc>
          <w:tcPr>
            <w:tcW w:type="dxa" w:w="3268"/>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 </w:t>
            </w:r>
            <w:r>
              <w:rPr>
                <w:rFonts w:ascii="" w:cs="" w:hAnsi=""/>
                <w:sz w:val="18"/>
                <w:szCs w:val="18"/>
              </w:rPr>
              <w:t>General history of Europe</w:t>
            </w:r>
          </w:p>
        </w:tc>
        <w:tc>
          <w:tcPr>
            <w:tcW w:type="dxa" w:w="829"/>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940</w:t>
            </w:r>
          </w:p>
        </w:tc>
        <w:tc>
          <w:tcPr>
            <w:tcW w:type="dxa" w:w="953"/>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53</w:t>
            </w:r>
          </w:p>
        </w:tc>
        <w:tc>
          <w:tcPr>
            <w:tcW w:type="dxa" w:w="1089"/>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72</w:t>
            </w:r>
          </w:p>
        </w:tc>
        <w:tc>
          <w:tcPr>
            <w:tcW w:type="dxa" w:w="1038"/>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 w:cs="" w:hAnsi=""/>
                <w:sz w:val="18"/>
                <w:szCs w:val="18"/>
              </w:rPr>
            </w:r>
          </w:p>
        </w:tc>
      </w:tr>
      <w:tr>
        <w:trPr>
          <w:trHeight w:hRule="atLeast" w:val="232"/>
          <w:cantSplit w:val="false"/>
        </w:trPr>
        <w:tc>
          <w:tcPr>
            <w:tcW w:type="dxa" w:w="919"/>
            <w:tcBorders>
              <w:top w:color="FFFFFF" w:space="0" w:sz="8"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33</w:t>
            </w:r>
          </w:p>
        </w:tc>
        <w:tc>
          <w:tcPr>
            <w:tcW w:type="dxa" w:w="3268"/>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 </w:t>
            </w:r>
            <w:r>
              <w:rPr>
                <w:rFonts w:ascii="" w:cs="" w:hAnsi=""/>
                <w:sz w:val="18"/>
                <w:szCs w:val="18"/>
              </w:rPr>
              <w:t>Labor economics</w:t>
            </w:r>
          </w:p>
        </w:tc>
        <w:tc>
          <w:tcPr>
            <w:tcW w:type="dxa" w:w="829"/>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331</w:t>
            </w:r>
          </w:p>
        </w:tc>
        <w:tc>
          <w:tcPr>
            <w:tcW w:type="dxa" w:w="953"/>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13</w:t>
            </w:r>
          </w:p>
        </w:tc>
        <w:tc>
          <w:tcPr>
            <w:tcW w:type="dxa" w:w="1089"/>
            <w:tcBorders>
              <w:top w:color="FFFFFF" w:space="0" w:sz="8" w:val="single"/>
              <w:left w:color="FFFFFF" w:space="0" w:sz="8" w:val="single"/>
              <w:bottom w:color="FFFFFF" w:space="0" w:sz="8" w:val="single"/>
              <w:right w:color="FFFFFF" w:space="0" w:sz="8" w:val="single"/>
            </w:tcBorders>
            <w:shd w:fill="E9EDF4" w:val="clear"/>
            <w:tcMar>
              <w:left w:type="dxa" w:w="18"/>
            </w:tcMar>
            <w:vAlign w:val="bottom"/>
          </w:tcPr>
          <w:p>
            <w:pPr>
              <w:pStyle w:val="style40"/>
              <w:spacing w:after="28" w:before="28"/>
              <w:contextualSpacing w:val="false"/>
            </w:pPr>
            <w:r>
              <w:rPr>
                <w:rFonts w:ascii="" w:cs="" w:hAnsi=""/>
                <w:sz w:val="18"/>
                <w:szCs w:val="18"/>
              </w:rPr>
              <w:t>71</w:t>
            </w:r>
          </w:p>
        </w:tc>
        <w:tc>
          <w:tcPr>
            <w:tcW w:type="dxa" w:w="1038"/>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 w:cs="" w:hAnsi=""/>
                <w:sz w:val="18"/>
                <w:szCs w:val="18"/>
              </w:rPr>
            </w:r>
          </w:p>
        </w:tc>
      </w:tr>
      <w:tr>
        <w:trPr>
          <w:trHeight w:hRule="atLeast" w:val="232"/>
          <w:cantSplit w:val="false"/>
        </w:trPr>
        <w:tc>
          <w:tcPr>
            <w:tcW w:type="dxa" w:w="919"/>
            <w:tcBorders>
              <w:top w:color="FFFFFF" w:space="0" w:sz="8"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34</w:t>
            </w:r>
          </w:p>
        </w:tc>
        <w:tc>
          <w:tcPr>
            <w:tcW w:type="dxa" w:w="3268"/>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 </w:t>
            </w:r>
            <w:r>
              <w:rPr>
                <w:rFonts w:ascii="" w:cs="" w:hAnsi=""/>
                <w:sz w:val="18"/>
                <w:szCs w:val="18"/>
              </w:rPr>
              <w:t>General history of Asia; Iran</w:t>
            </w:r>
          </w:p>
        </w:tc>
        <w:tc>
          <w:tcPr>
            <w:tcW w:type="dxa" w:w="829"/>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955</w:t>
            </w:r>
          </w:p>
        </w:tc>
        <w:tc>
          <w:tcPr>
            <w:tcW w:type="dxa" w:w="953"/>
            <w:tcBorders>
              <w:top w:color="FFFFFF" w:space="0" w:sz="8" w:val="single"/>
              <w:left w:color="FFFFFF" w:space="0" w:sz="8" w:val="single"/>
              <w:bottom w:color="FFFFFF" w:space="0" w:sz="8" w:val="single"/>
              <w:right w:color="FFFFFF" w:space="0" w:sz="8" w:val="single"/>
            </w:tcBorders>
            <w:shd w:fill="FFC000" w:val="clear"/>
            <w:tcMar>
              <w:left w:type="dxa" w:w="18"/>
            </w:tcMar>
            <w:vAlign w:val="bottom"/>
          </w:tcPr>
          <w:p>
            <w:pPr>
              <w:pStyle w:val="style40"/>
              <w:spacing w:after="28" w:before="28"/>
              <w:contextualSpacing w:val="false"/>
            </w:pPr>
            <w:r>
              <w:rPr>
                <w:rFonts w:ascii="" w:cs="" w:hAnsi=""/>
                <w:sz w:val="18"/>
                <w:szCs w:val="18"/>
              </w:rPr>
              <w:t>9</w:t>
            </w:r>
          </w:p>
        </w:tc>
        <w:tc>
          <w:tcPr>
            <w:tcW w:type="dxa" w:w="1089"/>
            <w:tcBorders>
              <w:top w:color="FFFFFF" w:space="0" w:sz="8" w:val="single"/>
              <w:left w:color="FFFFFF" w:space="0" w:sz="8" w:val="single"/>
              <w:bottom w:color="FFFFFF" w:space="0" w:sz="8" w:val="single"/>
              <w:right w:color="FFFFFF" w:space="0" w:sz="8" w:val="single"/>
            </w:tcBorders>
            <w:shd w:fill="FFC000" w:val="clear"/>
            <w:tcMar>
              <w:left w:type="dxa" w:w="18"/>
            </w:tcMar>
            <w:vAlign w:val="bottom"/>
          </w:tcPr>
          <w:p>
            <w:pPr>
              <w:pStyle w:val="style40"/>
              <w:spacing w:after="28" w:before="28"/>
              <w:contextualSpacing w:val="false"/>
            </w:pPr>
            <w:r>
              <w:rPr>
                <w:rFonts w:ascii="" w:cs="" w:hAnsi=""/>
                <w:sz w:val="18"/>
                <w:szCs w:val="18"/>
              </w:rPr>
              <w:t>63</w:t>
            </w:r>
          </w:p>
        </w:tc>
        <w:tc>
          <w:tcPr>
            <w:tcW w:type="dxa" w:w="1038"/>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 w:cs="" w:hAnsi=""/>
                <w:sz w:val="18"/>
                <w:szCs w:val="18"/>
              </w:rPr>
            </w:r>
          </w:p>
        </w:tc>
      </w:tr>
      <w:tr>
        <w:trPr>
          <w:trHeight w:hRule="atLeast" w:val="312"/>
          <w:cantSplit w:val="false"/>
        </w:trPr>
        <w:tc>
          <w:tcPr>
            <w:tcW w:type="dxa" w:w="919"/>
            <w:tcBorders>
              <w:top w:color="FFFFFF" w:space="0" w:sz="8" w:val="single"/>
              <w:left w:color="FFFFFF" w:space="0" w:sz="8" w:val="single"/>
              <w:bottom w:color="FFFFFF" w:space="0" w:sz="8" w:val="single"/>
              <w:right w:color="FFFFFF" w:space="0" w:sz="8" w:val="single"/>
            </w:tcBorders>
            <w:shd w:fill="00B050" w:val="clear"/>
            <w:tcMar>
              <w:left w:type="dxa" w:w="18"/>
            </w:tcMar>
          </w:tcPr>
          <w:p>
            <w:pPr>
              <w:pStyle w:val="style40"/>
              <w:spacing w:after="28" w:before="28"/>
              <w:contextualSpacing w:val="false"/>
            </w:pPr>
            <w:r>
              <w:rPr>
                <w:rFonts w:ascii="" w:cs="" w:hAnsi=""/>
                <w:b/>
                <w:bCs/>
                <w:sz w:val="18"/>
                <w:szCs w:val="18"/>
              </w:rPr>
              <w:t>45</w:t>
            </w:r>
          </w:p>
        </w:tc>
        <w:tc>
          <w:tcPr>
            <w:tcW w:type="dxa" w:w="3268"/>
            <w:tcBorders>
              <w:top w:color="FFFFFF" w:space="0" w:sz="8" w:val="single"/>
              <w:left w:color="FFFFFF" w:space="0" w:sz="8" w:val="single"/>
              <w:bottom w:color="FFFFFF" w:space="0" w:sz="8" w:val="single"/>
              <w:right w:color="FFFFFF" w:space="0" w:sz="8" w:val="single"/>
            </w:tcBorders>
            <w:shd w:fill="00B050" w:val="clear"/>
            <w:tcMar>
              <w:left w:type="dxa" w:w="18"/>
            </w:tcMar>
            <w:vAlign w:val="bottom"/>
          </w:tcPr>
          <w:p>
            <w:pPr>
              <w:pStyle w:val="style40"/>
              <w:spacing w:after="28" w:before="28"/>
              <w:contextualSpacing w:val="false"/>
            </w:pPr>
            <w:r>
              <w:rPr>
                <w:rFonts w:ascii="" w:cs="" w:hAnsi=""/>
                <w:sz w:val="18"/>
                <w:szCs w:val="18"/>
              </w:rPr>
              <w:t>History of ancient world; Mesopotamia &amp; Iranian Plateau</w:t>
            </w:r>
          </w:p>
        </w:tc>
        <w:tc>
          <w:tcPr>
            <w:tcW w:type="dxa" w:w="829"/>
            <w:tcBorders>
              <w:top w:color="FFFFFF" w:space="0" w:sz="8" w:val="single"/>
              <w:left w:color="FFFFFF" w:space="0" w:sz="8" w:val="single"/>
              <w:bottom w:color="FFFFFF" w:space="0" w:sz="8" w:val="single"/>
              <w:right w:color="FFFFFF" w:space="0" w:sz="8" w:val="single"/>
            </w:tcBorders>
            <w:shd w:fill="00B050" w:val="clear"/>
            <w:tcMar>
              <w:left w:type="dxa" w:w="18"/>
            </w:tcMar>
            <w:vAlign w:val="bottom"/>
          </w:tcPr>
          <w:p>
            <w:pPr>
              <w:pStyle w:val="style40"/>
              <w:spacing w:after="28" w:before="28"/>
              <w:contextualSpacing w:val="false"/>
            </w:pPr>
            <w:r>
              <w:rPr>
                <w:rFonts w:ascii="" w:cs="" w:hAnsi=""/>
                <w:sz w:val="18"/>
                <w:szCs w:val="18"/>
              </w:rPr>
              <w:t>935</w:t>
            </w:r>
          </w:p>
        </w:tc>
        <w:tc>
          <w:tcPr>
            <w:tcW w:type="dxa" w:w="953"/>
            <w:tcBorders>
              <w:top w:color="FFFFFF" w:space="0" w:sz="8" w:val="single"/>
              <w:left w:color="FFFFFF" w:space="0" w:sz="8" w:val="single"/>
              <w:bottom w:color="FFFFFF" w:space="0" w:sz="8" w:val="single"/>
              <w:right w:color="FFFFFF" w:space="0" w:sz="8" w:val="single"/>
            </w:tcBorders>
            <w:shd w:fill="00B050" w:val="clear"/>
            <w:tcMar>
              <w:left w:type="dxa" w:w="18"/>
            </w:tcMar>
            <w:vAlign w:val="bottom"/>
          </w:tcPr>
          <w:p>
            <w:pPr>
              <w:pStyle w:val="style40"/>
              <w:spacing w:after="28" w:before="28"/>
              <w:contextualSpacing w:val="false"/>
            </w:pPr>
            <w:r>
              <w:rPr>
                <w:rFonts w:ascii="" w:cs="" w:hAnsi=""/>
                <w:sz w:val="18"/>
                <w:szCs w:val="18"/>
              </w:rPr>
              <w:t>30</w:t>
            </w:r>
          </w:p>
        </w:tc>
        <w:tc>
          <w:tcPr>
            <w:tcW w:type="dxa" w:w="1089"/>
            <w:tcBorders>
              <w:top w:color="FFFFFF" w:space="0" w:sz="8" w:val="single"/>
              <w:left w:color="FFFFFF" w:space="0" w:sz="8" w:val="single"/>
              <w:bottom w:color="FFFFFF" w:space="0" w:sz="8" w:val="single"/>
              <w:right w:color="FFFFFF" w:space="0" w:sz="8" w:val="single"/>
            </w:tcBorders>
            <w:shd w:fill="00B050" w:val="clear"/>
            <w:tcMar>
              <w:left w:type="dxa" w:w="18"/>
            </w:tcMar>
            <w:vAlign w:val="bottom"/>
          </w:tcPr>
          <w:p>
            <w:pPr>
              <w:pStyle w:val="style40"/>
              <w:spacing w:after="28" w:before="28"/>
              <w:contextualSpacing w:val="false"/>
            </w:pPr>
            <w:r>
              <w:rPr>
                <w:rFonts w:ascii="" w:cs="" w:hAnsi=""/>
                <w:sz w:val="18"/>
                <w:szCs w:val="18"/>
              </w:rPr>
              <w:t>46</w:t>
            </w:r>
          </w:p>
        </w:tc>
        <w:tc>
          <w:tcPr>
            <w:tcW w:type="dxa" w:w="1038"/>
            <w:tcBorders>
              <w:top w:color="FFFFFF" w:space="0" w:sz="8" w:val="single"/>
              <w:left w:color="FFFFFF" w:space="0" w:sz="8" w:val="single"/>
              <w:bottom w:color="FFFFFF" w:space="0" w:sz="8" w:val="single"/>
              <w:right w:color="FFFFFF" w:space="0" w:sz="8" w:val="single"/>
            </w:tcBorders>
            <w:shd w:fill="00B050" w:val="clear"/>
            <w:tcMar>
              <w:left w:type="dxa" w:w="18"/>
            </w:tcMar>
            <w:vAlign w:val="bottom"/>
          </w:tcPr>
          <w:p>
            <w:pPr>
              <w:pStyle w:val="style40"/>
              <w:spacing w:after="28" w:before="28"/>
              <w:contextualSpacing w:val="false"/>
            </w:pPr>
            <w:r>
              <w:rPr>
                <w:rFonts w:ascii="" w:cs="" w:hAnsi=""/>
                <w:sz w:val="18"/>
                <w:szCs w:val="18"/>
              </w:rPr>
              <w:t>h-index : 45</w:t>
            </w:r>
          </w:p>
        </w:tc>
      </w:tr>
      <w:tr>
        <w:trPr>
          <w:trHeight w:hRule="atLeast" w:val="232"/>
          <w:cantSplit w:val="false"/>
        </w:trPr>
        <w:tc>
          <w:tcPr>
            <w:tcW w:type="dxa" w:w="919"/>
            <w:tcBorders>
              <w:top w:color="FFFFFF" w:space="0" w:sz="8" w:val="single"/>
              <w:left w:color="FFFFFF" w:space="0" w:sz="8" w:val="single"/>
              <w:bottom w:color="FFFFFF" w:space="0" w:sz="8" w:val="single"/>
              <w:right w:color="FFFFFF" w:space="0" w:sz="8" w:val="single"/>
            </w:tcBorders>
            <w:shd w:fill="4F81BD" w:val="clear"/>
            <w:tcMar>
              <w:left w:type="dxa" w:w="18"/>
            </w:tcMar>
          </w:tcPr>
          <w:p>
            <w:pPr>
              <w:pStyle w:val="style40"/>
              <w:spacing w:after="28" w:before="28"/>
              <w:contextualSpacing w:val="false"/>
            </w:pPr>
            <w:r>
              <w:rPr>
                <w:rFonts w:ascii="" w:cs="" w:hAnsi=""/>
                <w:b/>
                <w:bCs/>
                <w:sz w:val="18"/>
                <w:szCs w:val="18"/>
              </w:rPr>
              <w:t>46</w:t>
            </w:r>
          </w:p>
        </w:tc>
        <w:tc>
          <w:tcPr>
            <w:tcW w:type="dxa" w:w="3268"/>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 </w:t>
            </w:r>
          </w:p>
        </w:tc>
        <w:tc>
          <w:tcPr>
            <w:tcW w:type="dxa" w:w="829"/>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933</w:t>
            </w:r>
          </w:p>
        </w:tc>
        <w:tc>
          <w:tcPr>
            <w:tcW w:type="dxa" w:w="953"/>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15</w:t>
            </w:r>
          </w:p>
        </w:tc>
        <w:tc>
          <w:tcPr>
            <w:tcW w:type="dxa" w:w="1089"/>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t>45</w:t>
            </w:r>
          </w:p>
        </w:tc>
        <w:tc>
          <w:tcPr>
            <w:tcW w:type="dxa" w:w="1038"/>
            <w:tcBorders>
              <w:top w:color="FFFFFF" w:space="0" w:sz="8" w:val="single"/>
              <w:left w:color="FFFFFF" w:space="0" w:sz="8" w:val="single"/>
              <w:bottom w:color="FFFFFF" w:space="0" w:sz="8" w:val="single"/>
              <w:right w:color="FFFFFF" w:space="0" w:sz="8" w:val="single"/>
            </w:tcBorders>
            <w:shd w:fill="D0D8E8" w:val="clear"/>
            <w:tcMar>
              <w:left w:type="dxa" w:w="18"/>
            </w:tcMar>
            <w:vAlign w:val="bottom"/>
          </w:tcPr>
          <w:p>
            <w:pPr>
              <w:pStyle w:val="style40"/>
              <w:spacing w:after="28" w:before="28"/>
              <w:contextualSpacing w:val="false"/>
            </w:pPr>
            <w:r>
              <w:rPr>
                <w:rFonts w:ascii="" w:cs="" w:hAnsi=""/>
                <w:sz w:val="18"/>
                <w:szCs w:val="18"/>
              </w:rPr>
            </w:r>
          </w:p>
        </w:tc>
      </w:tr>
    </w:tbl>
    <w:p>
      <w:pPr>
        <w:pStyle w:val="style40"/>
        <w:spacing w:after="28" w:before="28"/>
        <w:contextualSpacing w:val="false"/>
      </w:pPr>
      <w:r>
        <w:rPr>
          <w:rFonts w:ascii="" w:cs="" w:hAnsi=""/>
          <w:sz w:val="22"/>
          <w:szCs w:val="22"/>
        </w:rPr>
      </w:r>
    </w:p>
    <w:p>
      <w:pPr>
        <w:pStyle w:val="style40"/>
        <w:spacing w:after="28" w:before="28"/>
        <w:contextualSpacing w:val="false"/>
        <w:jc w:val="both"/>
      </w:pPr>
      <w:r>
        <w:rPr>
          <w:rFonts w:ascii="" w:cs="" w:hAnsi=""/>
        </w:rPr>
        <w:t>we notice e.g. that we need to invest more in Class #305, 322, 950 and 309 by acquiring new publications or maybe new copies of what is available.</w:t>
      </w:r>
    </w:p>
    <w:p>
      <w:pPr>
        <w:pStyle w:val="style40"/>
        <w:spacing w:after="28" w:before="28"/>
        <w:contextualSpacing w:val="false"/>
        <w:jc w:val="both"/>
      </w:pPr>
      <w:r>
        <w:rPr>
          <w:rFonts w:ascii="" w:cs="" w:hAnsi=""/>
        </w:rPr>
        <w:t>Besides to fill the gaps in the 394 class, where AUB holds 4 titles, a research is undertaken in Harvard University Library, as one of the largest acquisitions libraries. The results showed more titles in this class.</w:t>
      </w:r>
    </w:p>
    <w:p>
      <w:pPr>
        <w:pStyle w:val="style40"/>
        <w:jc w:val="both"/>
      </w:pPr>
      <w:r>
        <w:rPr>
          <w:rFonts w:ascii="" w:cs="" w:hAnsi=""/>
        </w:rPr>
        <w:t>But this does not mean that we will neglect what is beneath h-index threshold. Around 200 titles are not being checked out. The reasons need to be found</w:t>
      </w:r>
    </w:p>
    <w:p>
      <w:pPr>
        <w:pStyle w:val="style40"/>
        <w:numPr>
          <w:ilvl w:val="0"/>
          <w:numId w:val="5"/>
        </w:numPr>
        <w:jc w:val="both"/>
      </w:pPr>
      <w:r>
        <w:rPr>
          <w:rFonts w:ascii="" w:cs="" w:hAnsi=""/>
        </w:rPr>
        <w:t xml:space="preserve">They are either newly published, or subject to poor information retrieval: poor indexing/ subject classification. </w:t>
      </w:r>
    </w:p>
    <w:p>
      <w:pPr>
        <w:pStyle w:val="style40"/>
        <w:numPr>
          <w:ilvl w:val="0"/>
          <w:numId w:val="5"/>
        </w:numPr>
        <w:jc w:val="both"/>
      </w:pPr>
      <w:r>
        <w:rPr>
          <w:rFonts w:ascii="" w:cs="" w:hAnsi=""/>
        </w:rPr>
        <w:t>Those may be considered to be placed in a different location or even weeded if not highly cited.</w:t>
      </w:r>
    </w:p>
    <w:p>
      <w:pPr>
        <w:pStyle w:val="style40"/>
        <w:ind w:hanging="0" w:left="360" w:right="0"/>
        <w:jc w:val="both"/>
      </w:pPr>
      <w:r>
        <w:rPr>
          <w:rFonts w:ascii="" w:cs="" w:hAnsi=""/>
        </w:rPr>
        <w:t>These results will help in decision making, identifying the collection strengths and weaknesses by subject class</w:t>
      </w:r>
    </w:p>
    <w:p>
      <w:pPr>
        <w:pStyle w:val="style40"/>
        <w:ind w:hanging="0" w:left="360" w:right="0"/>
      </w:pPr>
      <w:r>
        <w:rPr>
          <w:rFonts w:ascii="" w:cs="" w:hAnsi=""/>
        </w:rPr>
        <w:t>The figures related to the 956 class separately are the following</w:t>
      </w:r>
    </w:p>
    <w:tbl>
      <w:tblPr>
        <w:jc w:val="center"/>
        <w:tblInd w:type="dxa" w:w="144"/>
        <w:tblBorders>
          <w:top w:color="FFFFFF" w:space="0" w:sz="8" w:val="single"/>
          <w:left w:color="FFFFFF" w:space="0" w:sz="8" w:val="single"/>
          <w:bottom w:color="FFFFFF" w:space="0" w:sz="24" w:val="single"/>
          <w:insideH w:color="FFFFFF" w:space="0" w:sz="24" w:val="single"/>
          <w:right w:color="FFFFFF" w:space="0" w:sz="8" w:val="single"/>
          <w:insideV w:color="FFFFFF" w:space="0" w:sz="8" w:val="single"/>
        </w:tblBorders>
        <w:tblCellMar>
          <w:top w:type="dxa" w:w="72"/>
          <w:left w:type="dxa" w:w="134"/>
          <w:bottom w:type="dxa" w:w="72"/>
          <w:right w:type="dxa" w:w="144"/>
        </w:tblCellMar>
      </w:tblPr>
      <w:tblGrid>
        <w:gridCol w:w="6239"/>
        <w:gridCol w:w="1920"/>
      </w:tblGrid>
      <w:tr>
        <w:trPr>
          <w:trHeight w:hRule="atLeast" w:val="295"/>
          <w:cantSplit w:val="false"/>
        </w:trPr>
        <w:tc>
          <w:tcPr>
            <w:tcW w:type="dxa" w:w="6239"/>
            <w:tcBorders>
              <w:top w:color="FFFFFF" w:space="0" w:sz="8" w:val="single"/>
              <w:left w:color="FFFFFF" w:space="0" w:sz="8" w:val="single"/>
              <w:bottom w:color="FFFFFF" w:space="0" w:sz="24" w:val="single"/>
              <w:right w:color="FFFFFF" w:space="0" w:sz="8" w:val="single"/>
            </w:tcBorders>
            <w:shd w:fill="4F81BD" w:val="clear"/>
            <w:tcMar>
              <w:left w:type="dxa" w:w="134"/>
            </w:tcMar>
          </w:tcPr>
          <w:p>
            <w:pPr>
              <w:pStyle w:val="style0"/>
            </w:pPr>
            <w:r>
              <w:rPr>
                <w:rFonts w:ascii="" w:cs="" w:hAnsi=""/>
                <w:b/>
                <w:bCs/>
                <w:color w:val="FFFFFF"/>
                <w:sz w:val="20"/>
                <w:szCs w:val="20"/>
              </w:rPr>
              <w:t>History of Asia - Middle East (Near East)</w:t>
            </w:r>
          </w:p>
        </w:tc>
        <w:tc>
          <w:tcPr>
            <w:tcW w:type="dxa" w:w="1920"/>
            <w:tcBorders>
              <w:top w:color="FFFFFF" w:space="0" w:sz="8" w:val="single"/>
              <w:left w:color="FFFFFF" w:space="0" w:sz="8" w:val="single"/>
              <w:bottom w:color="FFFFFF" w:space="0" w:sz="24" w:val="single"/>
              <w:right w:color="FFFFFF" w:space="0" w:sz="8" w:val="single"/>
            </w:tcBorders>
            <w:shd w:fill="4F81BD" w:val="clear"/>
            <w:tcMar>
              <w:left w:type="dxa" w:w="134"/>
            </w:tcMar>
          </w:tcPr>
          <w:p>
            <w:pPr>
              <w:pStyle w:val="style0"/>
            </w:pPr>
            <w:r>
              <w:rPr>
                <w:rFonts w:ascii="" w:cs="" w:hAnsi=""/>
                <w:b/>
                <w:bCs/>
                <w:color w:val="FFFFFF"/>
                <w:sz w:val="20"/>
                <w:szCs w:val="20"/>
              </w:rPr>
              <w:t xml:space="preserve">Figures </w:t>
            </w:r>
          </w:p>
        </w:tc>
      </w:tr>
      <w:tr>
        <w:trPr>
          <w:trHeight w:hRule="atLeast" w:val="255"/>
          <w:cantSplit w:val="false"/>
        </w:trPr>
        <w:tc>
          <w:tcPr>
            <w:tcW w:type="dxa" w:w="6239"/>
            <w:tcBorders>
              <w:top w:color="FFFFFF" w:space="0" w:sz="24" w:val="single"/>
              <w:left w:color="FFFFFF" w:space="0" w:sz="8" w:val="single"/>
              <w:bottom w:color="FFFFFF" w:space="0" w:sz="8" w:val="single"/>
              <w:right w:color="FFFFFF" w:space="0" w:sz="8" w:val="single"/>
            </w:tcBorders>
            <w:shd w:fill="D0D8E8" w:val="clear"/>
            <w:tcMar>
              <w:left w:type="dxa" w:w="134"/>
            </w:tcMar>
          </w:tcPr>
          <w:p>
            <w:pPr>
              <w:pStyle w:val="style0"/>
            </w:pPr>
            <w:r>
              <w:rPr>
                <w:rFonts w:ascii="" w:cs="" w:hAnsi=""/>
                <w:color w:val="000000"/>
                <w:sz w:val="20"/>
                <w:szCs w:val="20"/>
              </w:rPr>
              <w:t>Class number</w:t>
            </w:r>
          </w:p>
        </w:tc>
        <w:tc>
          <w:tcPr>
            <w:tcW w:type="dxa" w:w="1920"/>
            <w:tcBorders>
              <w:top w:color="FFFFFF" w:space="0" w:sz="24" w:val="single"/>
              <w:left w:color="FFFFFF" w:space="0" w:sz="8" w:val="single"/>
              <w:bottom w:color="FFFFFF" w:space="0" w:sz="8" w:val="single"/>
              <w:right w:color="FFFFFF" w:space="0" w:sz="8" w:val="single"/>
            </w:tcBorders>
            <w:shd w:fill="D0D8E8" w:val="clear"/>
            <w:tcMar>
              <w:left w:type="dxa" w:w="134"/>
            </w:tcMar>
          </w:tcPr>
          <w:p>
            <w:pPr>
              <w:pStyle w:val="style0"/>
            </w:pPr>
            <w:r>
              <w:rPr>
                <w:rFonts w:ascii="" w:cs="" w:hAnsi=""/>
                <w:color w:val="000000"/>
                <w:sz w:val="20"/>
                <w:szCs w:val="20"/>
              </w:rPr>
              <w:t>956</w:t>
            </w:r>
          </w:p>
        </w:tc>
      </w:tr>
      <w:tr>
        <w:trPr>
          <w:trHeight w:hRule="atLeast" w:val="253"/>
          <w:cantSplit w:val="false"/>
        </w:trPr>
        <w:tc>
          <w:tcPr>
            <w:tcW w:type="dxa" w:w="6239"/>
            <w:tcBorders>
              <w:top w:color="FFFFFF" w:space="0" w:sz="8" w:val="single"/>
              <w:left w:color="FFFFFF" w:space="0" w:sz="8" w:val="single"/>
              <w:bottom w:color="FFFFFF" w:space="0" w:sz="8" w:val="single"/>
              <w:right w:color="FFFFFF" w:space="0" w:sz="8" w:val="single"/>
            </w:tcBorders>
            <w:shd w:fill="E9EDF4" w:val="clear"/>
            <w:tcMar>
              <w:top w:type="dxa" w:w="15"/>
              <w:left w:type="dxa" w:w="5"/>
              <w:bottom w:type="dxa" w:w="0"/>
              <w:right w:type="dxa" w:w="15"/>
            </w:tcMar>
            <w:vAlign w:val="bottom"/>
          </w:tcPr>
          <w:p>
            <w:pPr>
              <w:pStyle w:val="style0"/>
              <w:textAlignment w:val="bottom"/>
            </w:pPr>
            <w:r>
              <w:rPr>
                <w:rFonts w:ascii="" w:cs="" w:hAnsi=""/>
                <w:color w:val="000000"/>
                <w:sz w:val="20"/>
                <w:szCs w:val="20"/>
              </w:rPr>
              <w:t xml:space="preserve"> </w:t>
            </w:r>
            <w:r>
              <w:rPr>
                <w:rFonts w:ascii="" w:cs="" w:hAnsi=""/>
                <w:color w:val="000000"/>
                <w:sz w:val="20"/>
                <w:szCs w:val="20"/>
              </w:rPr>
              <w:t>Number of Books</w:t>
            </w:r>
          </w:p>
        </w:tc>
        <w:tc>
          <w:tcPr>
            <w:tcW w:type="dxa" w:w="1920"/>
            <w:tcBorders>
              <w:top w:color="FFFFFF" w:space="0" w:sz="8" w:val="single"/>
              <w:left w:color="FFFFFF" w:space="0" w:sz="8" w:val="single"/>
              <w:bottom w:color="FFFFFF" w:space="0" w:sz="8" w:val="single"/>
              <w:right w:color="FFFFFF" w:space="0" w:sz="8" w:val="single"/>
            </w:tcBorders>
            <w:shd w:fill="E9EDF4" w:val="clear"/>
            <w:tcMar>
              <w:top w:type="dxa" w:w="15"/>
              <w:left w:type="dxa" w:w="5"/>
              <w:bottom w:type="dxa" w:w="0"/>
              <w:right w:type="dxa" w:w="15"/>
            </w:tcMar>
            <w:vAlign w:val="bottom"/>
          </w:tcPr>
          <w:p>
            <w:pPr>
              <w:pStyle w:val="style0"/>
              <w:textAlignment w:val="bottom"/>
            </w:pPr>
            <w:r>
              <w:rPr>
                <w:rFonts w:ascii="" w:cs="" w:hAnsi=""/>
                <w:color w:val="000000"/>
                <w:sz w:val="20"/>
                <w:szCs w:val="20"/>
              </w:rPr>
              <w:t>924</w:t>
            </w:r>
          </w:p>
        </w:tc>
      </w:tr>
      <w:tr>
        <w:trPr>
          <w:trHeight w:hRule="atLeast" w:val="345"/>
          <w:cantSplit w:val="false"/>
        </w:trPr>
        <w:tc>
          <w:tcPr>
            <w:tcW w:type="dxa" w:w="6239"/>
            <w:tcBorders>
              <w:top w:color="FFFFFF" w:space="0" w:sz="8" w:val="single"/>
              <w:left w:color="FFFFFF" w:space="0" w:sz="8" w:val="single"/>
              <w:bottom w:color="FFFFFF" w:space="0" w:sz="8" w:val="single"/>
              <w:right w:color="FFFFFF" w:space="0" w:sz="8" w:val="single"/>
            </w:tcBorders>
            <w:shd w:fill="D0D8E8" w:val="clear"/>
            <w:tcMar>
              <w:top w:type="dxa" w:w="15"/>
              <w:left w:type="dxa" w:w="5"/>
              <w:bottom w:type="dxa" w:w="0"/>
              <w:right w:type="dxa" w:w="15"/>
            </w:tcMar>
            <w:vAlign w:val="bottom"/>
          </w:tcPr>
          <w:p>
            <w:pPr>
              <w:pStyle w:val="style0"/>
              <w:spacing w:line="345" w:lineRule="atLeast"/>
              <w:textAlignment w:val="bottom"/>
            </w:pPr>
            <w:r>
              <w:rPr>
                <w:rFonts w:ascii="" w:cs="" w:hAnsi=""/>
                <w:color w:val="000000"/>
                <w:sz w:val="20"/>
                <w:szCs w:val="20"/>
              </w:rPr>
              <w:t>Total Checkout Unique</w:t>
            </w:r>
          </w:p>
        </w:tc>
        <w:tc>
          <w:tcPr>
            <w:tcW w:type="dxa" w:w="1920"/>
            <w:tcBorders>
              <w:top w:color="FFFFFF" w:space="0" w:sz="8" w:val="single"/>
              <w:left w:color="FFFFFF" w:space="0" w:sz="8" w:val="single"/>
              <w:bottom w:color="FFFFFF" w:space="0" w:sz="8" w:val="single"/>
              <w:right w:color="FFFFFF" w:space="0" w:sz="8" w:val="single"/>
            </w:tcBorders>
            <w:shd w:fill="D0D8E8" w:val="clear"/>
            <w:tcMar>
              <w:top w:type="dxa" w:w="15"/>
              <w:left w:type="dxa" w:w="5"/>
              <w:bottom w:type="dxa" w:w="0"/>
              <w:right w:type="dxa" w:w="15"/>
            </w:tcMar>
            <w:vAlign w:val="bottom"/>
          </w:tcPr>
          <w:p>
            <w:pPr>
              <w:pStyle w:val="style0"/>
              <w:spacing w:line="345" w:lineRule="atLeast"/>
              <w:textAlignment w:val="bottom"/>
            </w:pPr>
            <w:r>
              <w:rPr>
                <w:rFonts w:ascii="" w:cs="" w:hAnsi=""/>
                <w:color w:val="000000"/>
                <w:sz w:val="20"/>
                <w:szCs w:val="20"/>
              </w:rPr>
              <w:t>528</w:t>
            </w:r>
          </w:p>
        </w:tc>
      </w:tr>
      <w:tr>
        <w:trPr>
          <w:trHeight w:hRule="atLeast" w:val="388"/>
          <w:cantSplit w:val="false"/>
        </w:trPr>
        <w:tc>
          <w:tcPr>
            <w:tcW w:type="dxa" w:w="6239"/>
            <w:tcBorders>
              <w:top w:color="FFFFFF" w:space="0" w:sz="8" w:val="single"/>
              <w:left w:color="FFFFFF" w:space="0" w:sz="8" w:val="single"/>
              <w:bottom w:color="FFFFFF" w:space="0" w:sz="8" w:val="single"/>
              <w:right w:color="FFFFFF" w:space="0" w:sz="8" w:val="single"/>
            </w:tcBorders>
            <w:shd w:fill="E9EDF4" w:val="clear"/>
            <w:tcMar>
              <w:top w:type="dxa" w:w="15"/>
              <w:left w:type="dxa" w:w="5"/>
              <w:bottom w:type="dxa" w:w="0"/>
              <w:right w:type="dxa" w:w="15"/>
            </w:tcMar>
            <w:vAlign w:val="bottom"/>
          </w:tcPr>
          <w:p>
            <w:pPr>
              <w:pStyle w:val="style0"/>
              <w:textAlignment w:val="bottom"/>
            </w:pPr>
            <w:r>
              <w:rPr>
                <w:rFonts w:ascii="" w:cs="" w:hAnsi=""/>
                <w:color w:val="000000"/>
                <w:sz w:val="20"/>
                <w:szCs w:val="20"/>
              </w:rPr>
              <w:t xml:space="preserve"> </w:t>
            </w:r>
            <w:r>
              <w:rPr>
                <w:rFonts w:ascii="" w:cs="" w:hAnsi=""/>
                <w:color w:val="000000"/>
                <w:sz w:val="20"/>
                <w:szCs w:val="20"/>
              </w:rPr>
              <w:t>% Collection Check Out</w:t>
            </w:r>
          </w:p>
        </w:tc>
        <w:tc>
          <w:tcPr>
            <w:tcW w:type="dxa" w:w="1920"/>
            <w:tcBorders>
              <w:top w:color="FFFFFF" w:space="0" w:sz="8" w:val="single"/>
              <w:left w:color="FFFFFF" w:space="0" w:sz="8" w:val="single"/>
              <w:bottom w:color="FFFFFF" w:space="0" w:sz="8" w:val="single"/>
              <w:right w:color="FFFFFF" w:space="0" w:sz="8" w:val="single"/>
            </w:tcBorders>
            <w:shd w:fill="E9EDF4" w:val="clear"/>
            <w:tcMar>
              <w:top w:type="dxa" w:w="15"/>
              <w:left w:type="dxa" w:w="5"/>
              <w:bottom w:type="dxa" w:w="0"/>
              <w:right w:type="dxa" w:w="15"/>
            </w:tcMar>
            <w:vAlign w:val="bottom"/>
          </w:tcPr>
          <w:p>
            <w:pPr>
              <w:pStyle w:val="style0"/>
              <w:textAlignment w:val="bottom"/>
            </w:pPr>
            <w:r>
              <w:rPr>
                <w:rFonts w:ascii="" w:cs="" w:hAnsi=""/>
                <w:color w:val="000000"/>
                <w:sz w:val="20"/>
                <w:szCs w:val="20"/>
              </w:rPr>
              <w:t>57%</w:t>
            </w:r>
          </w:p>
        </w:tc>
      </w:tr>
      <w:tr>
        <w:trPr>
          <w:trHeight w:hRule="atLeast" w:val="325"/>
          <w:cantSplit w:val="false"/>
        </w:trPr>
        <w:tc>
          <w:tcPr>
            <w:tcW w:type="dxa" w:w="6239"/>
            <w:tcBorders>
              <w:top w:color="FFFFFF" w:space="0" w:sz="8" w:val="single"/>
              <w:left w:color="FFFFFF" w:space="0" w:sz="8" w:val="single"/>
              <w:bottom w:color="FFFFFF" w:space="0" w:sz="8" w:val="single"/>
              <w:right w:color="FFFFFF" w:space="0" w:sz="8" w:val="single"/>
            </w:tcBorders>
            <w:shd w:fill="D0D8E8" w:val="clear"/>
            <w:tcMar>
              <w:top w:type="dxa" w:w="15"/>
              <w:left w:type="dxa" w:w="5"/>
              <w:bottom w:type="dxa" w:w="0"/>
              <w:right w:type="dxa" w:w="15"/>
            </w:tcMar>
            <w:vAlign w:val="bottom"/>
          </w:tcPr>
          <w:p>
            <w:pPr>
              <w:pStyle w:val="style0"/>
              <w:textAlignment w:val="bottom"/>
            </w:pPr>
            <w:r>
              <w:rPr>
                <w:rFonts w:ascii="" w:cs="" w:hAnsi=""/>
                <w:color w:val="000000"/>
                <w:sz w:val="20"/>
                <w:szCs w:val="20"/>
              </w:rPr>
              <w:t xml:space="preserve"> </w:t>
            </w:r>
            <w:r>
              <w:rPr>
                <w:rFonts w:ascii="" w:cs="" w:hAnsi=""/>
                <w:color w:val="000000"/>
                <w:sz w:val="20"/>
                <w:szCs w:val="20"/>
              </w:rPr>
              <w:t>#Times Book was Checked Out</w:t>
            </w:r>
          </w:p>
        </w:tc>
        <w:tc>
          <w:tcPr>
            <w:tcW w:type="dxa" w:w="1920"/>
            <w:tcBorders>
              <w:top w:color="FFFFFF" w:space="0" w:sz="8" w:val="single"/>
              <w:left w:color="FFFFFF" w:space="0" w:sz="8" w:val="single"/>
              <w:bottom w:color="FFFFFF" w:space="0" w:sz="8" w:val="single"/>
              <w:right w:color="FFFFFF" w:space="0" w:sz="8" w:val="single"/>
            </w:tcBorders>
            <w:shd w:fill="D0D8E8" w:val="clear"/>
            <w:tcMar>
              <w:top w:type="dxa" w:w="15"/>
              <w:left w:type="dxa" w:w="5"/>
              <w:bottom w:type="dxa" w:w="0"/>
              <w:right w:type="dxa" w:w="15"/>
            </w:tcMar>
            <w:vAlign w:val="bottom"/>
          </w:tcPr>
          <w:p>
            <w:pPr>
              <w:pStyle w:val="style0"/>
              <w:textAlignment w:val="bottom"/>
            </w:pPr>
            <w:r>
              <w:rPr>
                <w:rFonts w:ascii="" w:cs="" w:hAnsi=""/>
                <w:color w:val="000000"/>
                <w:sz w:val="20"/>
                <w:szCs w:val="20"/>
              </w:rPr>
              <w:t>See next table</w:t>
            </w:r>
          </w:p>
        </w:tc>
      </w:tr>
      <w:tr>
        <w:trPr>
          <w:trHeight w:hRule="atLeast" w:val="235"/>
          <w:cantSplit w:val="false"/>
        </w:trPr>
        <w:tc>
          <w:tcPr>
            <w:tcW w:type="dxa" w:w="6239"/>
            <w:tcBorders>
              <w:top w:color="FFFFFF" w:space="0" w:sz="8" w:val="single"/>
              <w:left w:color="FFFFFF" w:space="0" w:sz="8" w:val="single"/>
              <w:bottom w:color="FFFFFF" w:space="0" w:sz="8" w:val="single"/>
              <w:right w:color="FFFFFF" w:space="0" w:sz="8" w:val="single"/>
            </w:tcBorders>
            <w:shd w:fill="00B050" w:val="clear"/>
            <w:tcMar>
              <w:top w:type="dxa" w:w="15"/>
              <w:left w:type="dxa" w:w="5"/>
              <w:bottom w:type="dxa" w:w="0"/>
              <w:right w:type="dxa" w:w="15"/>
            </w:tcMar>
            <w:vAlign w:val="bottom"/>
          </w:tcPr>
          <w:p>
            <w:pPr>
              <w:pStyle w:val="style0"/>
              <w:textAlignment w:val="bottom"/>
            </w:pPr>
            <w:r>
              <w:rPr>
                <w:rFonts w:ascii="" w:cs="" w:hAnsi=""/>
                <w:color w:val="000000"/>
                <w:sz w:val="20"/>
                <w:szCs w:val="20"/>
              </w:rPr>
              <w:t xml:space="preserve"> </w:t>
            </w:r>
            <w:r>
              <w:rPr>
                <w:rFonts w:ascii="" w:cs="" w:hAnsi=""/>
                <w:color w:val="000000"/>
                <w:sz w:val="20"/>
                <w:szCs w:val="20"/>
              </w:rPr>
              <w:t>H-index</w:t>
            </w:r>
          </w:p>
        </w:tc>
        <w:tc>
          <w:tcPr>
            <w:tcW w:type="dxa" w:w="1920"/>
            <w:tcBorders>
              <w:top w:color="FFFFFF" w:space="0" w:sz="8" w:val="single"/>
              <w:left w:color="FFFFFF" w:space="0" w:sz="8" w:val="single"/>
              <w:bottom w:color="FFFFFF" w:space="0" w:sz="8" w:val="single"/>
              <w:right w:color="FFFFFF" w:space="0" w:sz="8" w:val="single"/>
            </w:tcBorders>
            <w:shd w:fill="00B050" w:val="clear"/>
            <w:tcMar>
              <w:top w:type="dxa" w:w="15"/>
              <w:left w:type="dxa" w:w="5"/>
              <w:bottom w:type="dxa" w:w="0"/>
              <w:right w:type="dxa" w:w="15"/>
            </w:tcMar>
            <w:vAlign w:val="bottom"/>
          </w:tcPr>
          <w:p>
            <w:pPr>
              <w:pStyle w:val="style0"/>
              <w:textAlignment w:val="bottom"/>
            </w:pPr>
            <w:r>
              <w:rPr>
                <w:rFonts w:ascii="" w:cs="" w:hAnsi=""/>
                <w:color w:val="000000"/>
                <w:sz w:val="20"/>
                <w:szCs w:val="20"/>
              </w:rPr>
              <w:t>24</w:t>
            </w:r>
          </w:p>
        </w:tc>
      </w:tr>
    </w:tbl>
    <w:p>
      <w:pPr>
        <w:pStyle w:val="style40"/>
        <w:jc w:val="center"/>
      </w:pPr>
      <w:r>
        <w:rPr>
          <w:rFonts w:ascii="" w:cs="" w:hAnsi=""/>
        </w:rPr>
        <w:t>Circulation of each book in 956 DDC class</w:t>
      </w:r>
    </w:p>
    <w:tbl>
      <w:tblPr>
        <w:jc w:val="left"/>
        <w:tblInd w:type="dxa" w:w="93"/>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3"/>
          <w:bottom w:type="dxa" w:w="0"/>
          <w:right w:type="dxa" w:w="108"/>
        </w:tblCellMar>
      </w:tblPr>
      <w:tblGrid>
        <w:gridCol w:w="1072"/>
        <w:gridCol w:w="2902"/>
        <w:gridCol w:w="720"/>
        <w:gridCol w:w="1171"/>
        <w:gridCol w:w="900"/>
        <w:gridCol w:w="1344"/>
        <w:gridCol w:w="1085"/>
      </w:tblGrid>
      <w:tr>
        <w:trPr>
          <w:trHeight w:hRule="atLeast" w:val="255"/>
          <w:cantSplit w:val="false"/>
        </w:trPr>
        <w:tc>
          <w:tcPr>
            <w:tcW w:type="dxa" w:w="1072"/>
            <w:tcBorders>
              <w:top w:color="000001" w:space="0" w:sz="4" w:val="single"/>
              <w:left w:color="000001" w:space="0" w:sz="4" w:val="single"/>
              <w:bottom w:color="000001" w:space="0" w:sz="4" w:val="single"/>
              <w:right w:color="000001" w:space="0" w:sz="4" w:val="single"/>
            </w:tcBorders>
            <w:shd w:fill="C0C0C0" w:val="clear"/>
            <w:tcMar>
              <w:left w:type="dxa" w:w="103"/>
            </w:tcMar>
            <w:vAlign w:val="bottom"/>
          </w:tcPr>
          <w:p>
            <w:pPr>
              <w:pStyle w:val="style0"/>
              <w:jc w:val="center"/>
            </w:pPr>
            <w:r>
              <w:rPr>
                <w:rFonts w:ascii="Arial (Arabic)" w:cs="Arial" w:hAnsi="Arial (Arabic)"/>
                <w:color w:val="000000"/>
                <w:sz w:val="20"/>
                <w:szCs w:val="20"/>
              </w:rPr>
              <w:t>Record Number</w:t>
            </w:r>
          </w:p>
        </w:tc>
        <w:tc>
          <w:tcPr>
            <w:tcW w:type="dxa" w:w="2902"/>
            <w:tcBorders>
              <w:top w:color="000001" w:space="0" w:sz="4" w:val="single"/>
              <w:left w:val="none"/>
              <w:bottom w:color="000001" w:space="0" w:sz="4" w:val="single"/>
              <w:right w:color="000001" w:space="0" w:sz="4" w:val="single"/>
            </w:tcBorders>
            <w:shd w:fill="C0C0C0" w:val="clear"/>
            <w:vAlign w:val="bottom"/>
          </w:tcPr>
          <w:p>
            <w:pPr>
              <w:pStyle w:val="style0"/>
              <w:jc w:val="center"/>
            </w:pPr>
            <w:r>
              <w:rPr>
                <w:rFonts w:ascii="Arial (Arabic)" w:cs="Arial" w:hAnsi="Arial (Arabic)"/>
                <w:color w:val="000000"/>
                <w:sz w:val="20"/>
                <w:szCs w:val="20"/>
              </w:rPr>
              <w:t>Title</w:t>
            </w:r>
          </w:p>
        </w:tc>
        <w:tc>
          <w:tcPr>
            <w:tcW w:type="dxa" w:w="720"/>
            <w:tcBorders>
              <w:top w:color="000001" w:space="0" w:sz="4" w:val="single"/>
              <w:left w:val="none"/>
              <w:bottom w:color="000001" w:space="0" w:sz="4" w:val="single"/>
              <w:right w:color="000001" w:space="0" w:sz="4" w:val="single"/>
            </w:tcBorders>
            <w:shd w:fill="C0C0C0" w:val="clear"/>
            <w:vAlign w:val="bottom"/>
          </w:tcPr>
          <w:p>
            <w:pPr>
              <w:pStyle w:val="style0"/>
              <w:jc w:val="center"/>
            </w:pPr>
            <w:r>
              <w:rPr>
                <w:rFonts w:ascii="Arial (Arabic)" w:cs="Arial" w:hAnsi="Arial (Arabic)"/>
                <w:color w:val="000000"/>
                <w:sz w:val="20"/>
                <w:szCs w:val="20"/>
              </w:rPr>
              <w:t>Date</w:t>
            </w:r>
          </w:p>
        </w:tc>
        <w:tc>
          <w:tcPr>
            <w:tcW w:type="dxa" w:w="1171"/>
            <w:tcBorders>
              <w:top w:color="000001" w:space="0" w:sz="4" w:val="single"/>
              <w:left w:val="none"/>
              <w:bottom w:color="000001" w:space="0" w:sz="4" w:val="single"/>
              <w:right w:color="000001" w:space="0" w:sz="4" w:val="single"/>
            </w:tcBorders>
            <w:shd w:fill="C0C0C0" w:val="clear"/>
            <w:vAlign w:val="bottom"/>
          </w:tcPr>
          <w:p>
            <w:pPr>
              <w:pStyle w:val="style0"/>
              <w:jc w:val="center"/>
            </w:pPr>
            <w:r>
              <w:rPr>
                <w:rFonts w:ascii="Arial (Arabic)" w:cs="Arial" w:hAnsi="Arial (Arabic)"/>
                <w:color w:val="000000"/>
                <w:sz w:val="20"/>
                <w:szCs w:val="20"/>
              </w:rPr>
              <w:t>Publisher</w:t>
            </w:r>
          </w:p>
        </w:tc>
        <w:tc>
          <w:tcPr>
            <w:tcW w:type="dxa" w:w="900"/>
            <w:tcBorders>
              <w:top w:color="000001" w:space="0" w:sz="4" w:val="single"/>
              <w:left w:val="none"/>
              <w:bottom w:color="000001" w:space="0" w:sz="4" w:val="single"/>
              <w:right w:color="000001" w:space="0" w:sz="4" w:val="single"/>
            </w:tcBorders>
            <w:shd w:fill="C0C0C0" w:val="clear"/>
            <w:vAlign w:val="bottom"/>
          </w:tcPr>
          <w:p>
            <w:pPr>
              <w:pStyle w:val="style0"/>
              <w:jc w:val="center"/>
            </w:pPr>
            <w:r>
              <w:rPr>
                <w:rFonts w:ascii="Arial (Arabic)" w:cs="Arial" w:hAnsi="Arial (Arabic)"/>
                <w:color w:val="000000"/>
                <w:sz w:val="20"/>
                <w:szCs w:val="20"/>
              </w:rPr>
              <w:t>Class</w:t>
            </w:r>
          </w:p>
        </w:tc>
        <w:tc>
          <w:tcPr>
            <w:tcW w:type="dxa" w:w="1344"/>
            <w:tcBorders>
              <w:top w:color="000001" w:space="0" w:sz="4" w:val="single"/>
              <w:left w:val="none"/>
              <w:bottom w:color="000001" w:space="0" w:sz="4" w:val="single"/>
              <w:right w:color="000001" w:space="0" w:sz="4" w:val="single"/>
            </w:tcBorders>
            <w:shd w:fill="C0C0C0" w:val="clear"/>
            <w:vAlign w:val="bottom"/>
          </w:tcPr>
          <w:p>
            <w:pPr>
              <w:pStyle w:val="style0"/>
              <w:jc w:val="center"/>
            </w:pPr>
            <w:r>
              <w:rPr>
                <w:rFonts w:ascii="Arial (Arabic)" w:cs="Arial" w:hAnsi="Arial (Arabic)"/>
                <w:color w:val="000000"/>
                <w:sz w:val="20"/>
                <w:szCs w:val="20"/>
              </w:rPr>
              <w:t>CallNo</w:t>
            </w:r>
          </w:p>
        </w:tc>
        <w:tc>
          <w:tcPr>
            <w:tcW w:type="dxa" w:w="1085"/>
            <w:tcBorders>
              <w:top w:color="000001" w:space="0" w:sz="4" w:val="single"/>
              <w:left w:val="none"/>
              <w:bottom w:color="000001" w:space="0" w:sz="4" w:val="single"/>
              <w:right w:color="000001" w:space="0" w:sz="4" w:val="single"/>
            </w:tcBorders>
            <w:shd w:fill="FF0000" w:val="clear"/>
            <w:vAlign w:val="bottom"/>
          </w:tcPr>
          <w:p>
            <w:pPr>
              <w:pStyle w:val="style0"/>
              <w:jc w:val="center"/>
            </w:pPr>
            <w:r>
              <w:rPr>
                <w:rFonts w:ascii="Arial (Arabic)" w:cs="Arial" w:hAnsi="Arial (Arabic)"/>
                <w:color w:val="000000"/>
                <w:sz w:val="20"/>
                <w:szCs w:val="20"/>
              </w:rPr>
              <w:t xml:space="preserve">Total CheckOut </w:t>
            </w:r>
          </w:p>
        </w:tc>
      </w:tr>
      <w:tr>
        <w:trPr>
          <w:trHeight w:hRule="atLeast" w:val="765"/>
          <w:cantSplit w:val="false"/>
        </w:trPr>
        <w:tc>
          <w:tcPr>
            <w:tcW w:type="dxa" w:w="1072"/>
            <w:tcBorders>
              <w:top w:color="C0C0C0" w:space="0" w:sz="4" w:val="single"/>
              <w:left w:color="C0C0C0" w:space="0" w:sz="4" w:val="single"/>
              <w:bottom w:color="C0C0C0" w:space="0" w:sz="4" w:val="single"/>
              <w:right w:color="C0C0C0" w:space="0" w:sz="4" w:val="single"/>
            </w:tcBorders>
            <w:shd w:fill="FFFFFF" w:val="clear"/>
            <w:tcMar>
              <w:left w:type="dxa" w:w="103"/>
            </w:tcMar>
            <w:vAlign w:val="bottom"/>
          </w:tcPr>
          <w:p>
            <w:pPr>
              <w:pStyle w:val="style0"/>
            </w:pPr>
            <w:r>
              <w:rPr>
                <w:rFonts w:ascii="" w:cs="" w:hAnsi=""/>
                <w:color w:val="000000"/>
                <w:sz w:val="18"/>
                <w:szCs w:val="18"/>
              </w:rPr>
              <w:t>i12363868</w:t>
            </w:r>
          </w:p>
        </w:tc>
        <w:tc>
          <w:tcPr>
            <w:tcW w:type="dxa" w:w="2902"/>
            <w:tcBorders>
              <w:top w:color="C0C0C0" w:space="0" w:sz="4" w:val="singl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Lebanon and the Middle Eastern question</w:t>
            </w:r>
          </w:p>
        </w:tc>
        <w:tc>
          <w:tcPr>
            <w:tcW w:type="dxa" w:w="720"/>
            <w:tcBorders>
              <w:top w:color="C0C0C0" w:space="0" w:sz="4" w:val="singl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1988</w:t>
            </w:r>
          </w:p>
        </w:tc>
        <w:tc>
          <w:tcPr>
            <w:tcW w:type="dxa" w:w="1171"/>
            <w:tcBorders>
              <w:top w:color="C0C0C0" w:space="0" w:sz="4" w:val="singl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Centre for Lebanese Studies,</w:t>
            </w:r>
          </w:p>
        </w:tc>
        <w:tc>
          <w:tcPr>
            <w:tcW w:type="dxa" w:w="900"/>
            <w:tcBorders>
              <w:top w:color="C0C0C0" w:space="0" w:sz="4" w:val="singl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956.92044</w:t>
            </w:r>
          </w:p>
        </w:tc>
        <w:tc>
          <w:tcPr>
            <w:tcW w:type="dxa" w:w="1344"/>
            <w:tcBorders>
              <w:top w:color="C0C0C0" w:space="0" w:sz="4" w:val="singl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J 956.92044:S165L:c.1</w:t>
            </w:r>
          </w:p>
        </w:tc>
        <w:tc>
          <w:tcPr>
            <w:tcW w:type="dxa" w:w="1085"/>
            <w:tcBorders>
              <w:top w:color="C0C0C0" w:space="0" w:sz="4" w:val="single"/>
              <w:left w:val="none"/>
              <w:bottom w:color="C0C0C0" w:space="0" w:sz="4" w:val="single"/>
              <w:right w:color="C0C0C0" w:space="0" w:sz="4" w:val="single"/>
            </w:tcBorders>
            <w:shd w:fill="FF0000" w:val="clear"/>
            <w:vAlign w:val="bottom"/>
          </w:tcPr>
          <w:p>
            <w:pPr>
              <w:pStyle w:val="style0"/>
              <w:jc w:val="right"/>
            </w:pPr>
            <w:r>
              <w:rPr>
                <w:rFonts w:ascii="" w:cs="" w:hAnsi=""/>
                <w:color w:val="000000"/>
                <w:sz w:val="18"/>
                <w:szCs w:val="18"/>
              </w:rPr>
              <w:t>46</w:t>
            </w:r>
          </w:p>
        </w:tc>
      </w:tr>
      <w:tr>
        <w:trPr>
          <w:trHeight w:hRule="atLeast" w:val="917"/>
          <w:cantSplit w:val="false"/>
        </w:trPr>
        <w:tc>
          <w:tcPr>
            <w:tcW w:type="dxa" w:w="1072"/>
            <w:tcBorders>
              <w:top w:val="none"/>
              <w:left w:color="C0C0C0" w:space="0" w:sz="4" w:val="single"/>
              <w:bottom w:color="C0C0C0" w:space="0" w:sz="4" w:val="single"/>
              <w:right w:color="C0C0C0" w:space="0" w:sz="4" w:val="single"/>
            </w:tcBorders>
            <w:shd w:fill="FFFFFF" w:val="clear"/>
            <w:tcMar>
              <w:left w:type="dxa" w:w="103"/>
            </w:tcMar>
            <w:vAlign w:val="bottom"/>
          </w:tcPr>
          <w:p>
            <w:pPr>
              <w:pStyle w:val="style0"/>
            </w:pPr>
            <w:r>
              <w:rPr>
                <w:rFonts w:ascii="" w:cs="" w:hAnsi=""/>
                <w:color w:val="000000"/>
                <w:sz w:val="18"/>
                <w:szCs w:val="18"/>
              </w:rPr>
              <w:t>i14076172</w:t>
            </w:r>
          </w:p>
        </w:tc>
        <w:tc>
          <w:tcPr>
            <w:tcW w:type="dxa" w:w="2902"/>
            <w:tcBorders>
              <w:top w:val="non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Minorities in the Middle East : a history of struggle and self-expression / Mordechai Nisan</w:t>
            </w:r>
          </w:p>
        </w:tc>
        <w:tc>
          <w:tcPr>
            <w:tcW w:type="dxa" w:w="720"/>
            <w:tcBorders>
              <w:top w:val="non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c2002</w:t>
            </w:r>
          </w:p>
        </w:tc>
        <w:tc>
          <w:tcPr>
            <w:tcW w:type="dxa" w:w="1171"/>
            <w:tcBorders>
              <w:top w:val="non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McFarland,</w:t>
            </w:r>
          </w:p>
        </w:tc>
        <w:tc>
          <w:tcPr>
            <w:tcW w:type="dxa" w:w="900"/>
            <w:tcBorders>
              <w:top w:val="non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956.67</w:t>
            </w:r>
          </w:p>
        </w:tc>
        <w:tc>
          <w:tcPr>
            <w:tcW w:type="dxa" w:w="1344"/>
            <w:tcBorders>
              <w:top w:val="non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J 956.67:N722m2:c.1</w:t>
            </w:r>
          </w:p>
        </w:tc>
        <w:tc>
          <w:tcPr>
            <w:tcW w:type="dxa" w:w="1085"/>
            <w:tcBorders>
              <w:top w:val="none"/>
              <w:left w:val="none"/>
              <w:bottom w:color="C0C0C0" w:space="0" w:sz="4" w:val="single"/>
              <w:right w:color="C0C0C0" w:space="0" w:sz="4" w:val="single"/>
            </w:tcBorders>
            <w:shd w:fill="FF0000" w:val="clear"/>
            <w:vAlign w:val="bottom"/>
          </w:tcPr>
          <w:p>
            <w:pPr>
              <w:pStyle w:val="style0"/>
              <w:jc w:val="right"/>
            </w:pPr>
            <w:r>
              <w:rPr>
                <w:rFonts w:ascii="" w:cs="" w:hAnsi=""/>
                <w:color w:val="000000"/>
                <w:sz w:val="18"/>
                <w:szCs w:val="18"/>
              </w:rPr>
              <w:t>44</w:t>
            </w:r>
          </w:p>
        </w:tc>
      </w:tr>
      <w:tr>
        <w:trPr>
          <w:trHeight w:hRule="atLeast" w:val="638"/>
          <w:cantSplit w:val="false"/>
        </w:trPr>
        <w:tc>
          <w:tcPr>
            <w:tcW w:type="dxa" w:w="1072"/>
            <w:tcBorders>
              <w:top w:val="none"/>
              <w:left w:color="C0C0C0" w:space="0" w:sz="4" w:val="single"/>
              <w:bottom w:color="C0C0C0" w:space="0" w:sz="4" w:val="single"/>
              <w:right w:color="C0C0C0" w:space="0" w:sz="4" w:val="single"/>
            </w:tcBorders>
            <w:shd w:fill="FFFFFF" w:val="clear"/>
            <w:tcMar>
              <w:left w:type="dxa" w:w="103"/>
            </w:tcMar>
            <w:vAlign w:val="bottom"/>
          </w:tcPr>
          <w:p>
            <w:pPr>
              <w:pStyle w:val="style0"/>
            </w:pPr>
            <w:r>
              <w:rPr>
                <w:rFonts w:ascii="" w:cs="" w:hAnsi=""/>
                <w:color w:val="000000"/>
                <w:sz w:val="18"/>
                <w:szCs w:val="18"/>
              </w:rPr>
              <w:t>i14025012</w:t>
            </w:r>
          </w:p>
        </w:tc>
        <w:tc>
          <w:tcPr>
            <w:tcW w:type="dxa" w:w="2902"/>
            <w:tcBorders>
              <w:top w:val="non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From Beirut to Jerusalem : updated with a new chapter / Thomas L. Friedman</w:t>
            </w:r>
          </w:p>
        </w:tc>
        <w:tc>
          <w:tcPr>
            <w:tcW w:type="dxa" w:w="720"/>
            <w:tcBorders>
              <w:top w:val="non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c1995</w:t>
            </w:r>
          </w:p>
        </w:tc>
        <w:tc>
          <w:tcPr>
            <w:tcW w:type="dxa" w:w="1171"/>
            <w:tcBorders>
              <w:top w:val="non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Doubleday,</w:t>
            </w:r>
          </w:p>
        </w:tc>
        <w:tc>
          <w:tcPr>
            <w:tcW w:type="dxa" w:w="900"/>
            <w:tcBorders>
              <w:top w:val="non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956.04</w:t>
            </w:r>
          </w:p>
        </w:tc>
        <w:tc>
          <w:tcPr>
            <w:tcW w:type="dxa" w:w="1344"/>
            <w:tcBorders>
              <w:top w:val="non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J 956.04:F911fb:c.1</w:t>
            </w:r>
          </w:p>
        </w:tc>
        <w:tc>
          <w:tcPr>
            <w:tcW w:type="dxa" w:w="1085"/>
            <w:tcBorders>
              <w:top w:val="none"/>
              <w:left w:val="none"/>
              <w:bottom w:color="C0C0C0" w:space="0" w:sz="4" w:val="single"/>
              <w:right w:color="C0C0C0" w:space="0" w:sz="4" w:val="single"/>
            </w:tcBorders>
            <w:shd w:fill="FF0000" w:val="clear"/>
            <w:vAlign w:val="bottom"/>
          </w:tcPr>
          <w:p>
            <w:pPr>
              <w:pStyle w:val="style0"/>
              <w:jc w:val="right"/>
            </w:pPr>
            <w:r>
              <w:rPr>
                <w:rFonts w:ascii="" w:cs="" w:hAnsi=""/>
                <w:color w:val="000000"/>
                <w:sz w:val="18"/>
                <w:szCs w:val="18"/>
              </w:rPr>
              <w:t>42</w:t>
            </w:r>
          </w:p>
        </w:tc>
      </w:tr>
      <w:tr>
        <w:trPr>
          <w:trHeight w:hRule="atLeast" w:val="1070"/>
          <w:cantSplit w:val="false"/>
        </w:trPr>
        <w:tc>
          <w:tcPr>
            <w:tcW w:type="dxa" w:w="1072"/>
            <w:tcBorders>
              <w:top w:val="none"/>
              <w:left w:color="C0C0C0" w:space="0" w:sz="4" w:val="single"/>
              <w:bottom w:color="C0C0C0" w:space="0" w:sz="4" w:val="single"/>
              <w:right w:color="C0C0C0" w:space="0" w:sz="4" w:val="single"/>
            </w:tcBorders>
            <w:shd w:fill="FFFFFF" w:val="clear"/>
            <w:tcMar>
              <w:left w:type="dxa" w:w="103"/>
            </w:tcMar>
            <w:vAlign w:val="bottom"/>
          </w:tcPr>
          <w:p>
            <w:pPr>
              <w:pStyle w:val="style0"/>
            </w:pPr>
            <w:r>
              <w:rPr>
                <w:rFonts w:ascii="" w:cs="" w:hAnsi=""/>
                <w:color w:val="000000"/>
                <w:sz w:val="18"/>
                <w:szCs w:val="18"/>
              </w:rPr>
              <w:t>i1380070x</w:t>
            </w:r>
          </w:p>
        </w:tc>
        <w:tc>
          <w:tcPr>
            <w:tcW w:type="dxa" w:w="2902"/>
            <w:tcBorders>
              <w:top w:val="non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Power, politics, and culture: interviews with Edward W. Said / edited and with an introduction by Gauri Viswanathan.</w:t>
            </w:r>
          </w:p>
        </w:tc>
        <w:tc>
          <w:tcPr>
            <w:tcW w:type="dxa" w:w="720"/>
            <w:tcBorders>
              <w:top w:val="non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c2001.</w:t>
            </w:r>
          </w:p>
        </w:tc>
        <w:tc>
          <w:tcPr>
            <w:tcW w:type="dxa" w:w="1171"/>
            <w:tcBorders>
              <w:top w:val="non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Random House,</w:t>
            </w:r>
          </w:p>
        </w:tc>
        <w:tc>
          <w:tcPr>
            <w:tcW w:type="dxa" w:w="900"/>
            <w:tcBorders>
              <w:top w:val="non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956</w:t>
            </w:r>
          </w:p>
        </w:tc>
        <w:tc>
          <w:tcPr>
            <w:tcW w:type="dxa" w:w="1344"/>
            <w:tcBorders>
              <w:top w:val="none"/>
              <w:left w:val="none"/>
              <w:bottom w:color="C0C0C0" w:space="0" w:sz="4" w:val="single"/>
              <w:right w:color="C0C0C0" w:space="0" w:sz="4" w:val="single"/>
            </w:tcBorders>
            <w:shd w:fill="FFFFFF" w:val="clear"/>
            <w:vAlign w:val="bottom"/>
          </w:tcPr>
          <w:p>
            <w:pPr>
              <w:pStyle w:val="style0"/>
            </w:pPr>
            <w:r>
              <w:rPr>
                <w:rFonts w:ascii="" w:cs="" w:hAnsi=""/>
                <w:color w:val="000000"/>
                <w:sz w:val="18"/>
                <w:szCs w:val="18"/>
              </w:rPr>
              <w:t>J 956:S132p:c.1</w:t>
            </w:r>
          </w:p>
        </w:tc>
        <w:tc>
          <w:tcPr>
            <w:tcW w:type="dxa" w:w="1085"/>
            <w:tcBorders>
              <w:top w:val="none"/>
              <w:left w:val="none"/>
              <w:bottom w:color="C0C0C0" w:space="0" w:sz="4" w:val="single"/>
              <w:right w:color="C0C0C0" w:space="0" w:sz="4" w:val="single"/>
            </w:tcBorders>
            <w:shd w:fill="FF0000" w:val="clear"/>
            <w:vAlign w:val="bottom"/>
          </w:tcPr>
          <w:p>
            <w:pPr>
              <w:pStyle w:val="style0"/>
              <w:jc w:val="right"/>
            </w:pPr>
            <w:r>
              <w:rPr>
                <w:rFonts w:ascii="" w:cs="" w:hAnsi=""/>
                <w:color w:val="000000"/>
                <w:sz w:val="18"/>
                <w:szCs w:val="18"/>
              </w:rPr>
              <w:t>41</w:t>
            </w:r>
          </w:p>
        </w:tc>
      </w:tr>
    </w:tbl>
    <w:p>
      <w:pPr>
        <w:pStyle w:val="style40"/>
      </w:pPr>
      <w:r>
        <w:rPr>
          <w:rFonts w:ascii="" w:cs="" w:hAnsi=""/>
        </w:rPr>
        <w:t>Titles that circulate the most in each class and DDC class can be retrieved</w:t>
      </w:r>
    </w:p>
    <w:p>
      <w:pPr>
        <w:pStyle w:val="style40"/>
      </w:pPr>
      <w:r>
        <w:rPr>
          <w:rFonts w:ascii="" w:cs="" w:hAnsi=""/>
        </w:rPr>
        <w:t>We can retrieve data related to the 956 subfields. H-index=24</w:t>
      </w:r>
    </w:p>
    <w:tbl>
      <w:tblPr>
        <w:jc w:val="left"/>
        <w:tblInd w:type="dxa" w:w="45"/>
        <w:tblBorders>
          <w:top w:color="FFFFFF" w:space="0" w:sz="8" w:val="single"/>
          <w:left w:color="FFFFFF" w:space="0" w:sz="8" w:val="single"/>
          <w:bottom w:color="FFFFFF" w:space="0" w:sz="24" w:val="single"/>
          <w:insideH w:color="FFFFFF" w:space="0" w:sz="24" w:val="single"/>
          <w:right w:color="FFFFFF" w:space="0" w:sz="8" w:val="single"/>
          <w:insideV w:color="FFFFFF" w:space="0" w:sz="8" w:val="single"/>
        </w:tblBorders>
        <w:tblCellMar>
          <w:top w:type="dxa" w:w="15"/>
          <w:left w:type="dxa" w:w="35"/>
          <w:bottom w:type="dxa" w:w="0"/>
          <w:right w:type="dxa" w:w="45"/>
        </w:tblCellMar>
      </w:tblPr>
      <w:tblGrid>
        <w:gridCol w:w="845"/>
        <w:gridCol w:w="3882"/>
        <w:gridCol w:w="1529"/>
        <w:gridCol w:w="1260"/>
        <w:gridCol w:w="1478"/>
      </w:tblGrid>
      <w:tr>
        <w:trPr>
          <w:trHeight w:hRule="atLeast" w:val="291"/>
          <w:cantSplit w:val="false"/>
        </w:trPr>
        <w:tc>
          <w:tcPr>
            <w:tcW w:type="dxa" w:w="845"/>
            <w:tcBorders>
              <w:top w:color="FFFFFF" w:space="0" w:sz="8" w:val="single"/>
              <w:left w:color="FFFFFF" w:space="0" w:sz="8" w:val="single"/>
              <w:bottom w:color="FFFFFF" w:space="0" w:sz="24"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 </w:t>
            </w:r>
            <w:r>
              <w:rPr>
                <w:rFonts w:ascii="Calibri" w:hAnsi="Calibri"/>
                <w:b/>
                <w:bCs/>
                <w:sz w:val="20"/>
                <w:szCs w:val="20"/>
              </w:rPr>
              <w:t>Sorting by total checkout</w:t>
            </w:r>
          </w:p>
        </w:tc>
        <w:tc>
          <w:tcPr>
            <w:tcW w:type="dxa" w:w="3882"/>
            <w:gridSpan w:val="2"/>
            <w:tcBorders>
              <w:top w:color="FFFFFF" w:space="0" w:sz="8" w:val="single"/>
              <w:left w:color="FFFFFF" w:space="0" w:sz="8" w:val="single"/>
              <w:bottom w:color="FFFFFF" w:space="0" w:sz="24" w:val="single"/>
              <w:right w:color="FFFFFF" w:space="0" w:sz="8" w:val="single"/>
            </w:tcBorders>
            <w:shd w:fill="4F81BD" w:val="clear"/>
            <w:tcMar>
              <w:left w:type="dxa" w:w="35"/>
            </w:tcMar>
            <w:vAlign w:val="bottom"/>
          </w:tcPr>
          <w:p>
            <w:pPr>
              <w:pStyle w:val="style40"/>
              <w:spacing w:after="28" w:before="28"/>
              <w:contextualSpacing w:val="false"/>
            </w:pPr>
            <w:r>
              <w:rPr>
                <w:rFonts w:ascii="Calibri" w:hAnsi="Calibri"/>
                <w:b/>
                <w:bCs/>
                <w:sz w:val="20"/>
                <w:szCs w:val="20"/>
              </w:rPr>
              <w:t>DDC 956 Subclass</w:t>
            </w:r>
          </w:p>
        </w:tc>
        <w:tc>
          <w:tcPr>
            <w:tcW w:type="dxa" w:w="1529"/>
            <w:tcBorders>
              <w:top w:color="FFFFFF" w:space="0" w:sz="8" w:val="single"/>
              <w:left w:color="FFFFFF" w:space="0" w:sz="8" w:val="single"/>
              <w:bottom w:color="FFFFFF" w:space="0" w:sz="24" w:val="single"/>
              <w:right w:color="FFFFFF" w:space="0" w:sz="8" w:val="single"/>
            </w:tcBorders>
            <w:shd w:fill="4F81BD" w:val="clear"/>
            <w:tcMar>
              <w:left w:type="dxa" w:w="35"/>
            </w:tcMar>
            <w:vAlign w:val="bottom"/>
          </w:tcPr>
          <w:p>
            <w:pPr>
              <w:pStyle w:val="style40"/>
              <w:spacing w:after="28" w:before="28"/>
              <w:contextualSpacing w:val="false"/>
            </w:pPr>
            <w:r>
              <w:rPr>
                <w:rFonts w:ascii="Calibri" w:hAnsi="Calibri"/>
                <w:b/>
                <w:bCs/>
                <w:sz w:val="20"/>
                <w:szCs w:val="20"/>
              </w:rPr>
              <w:t>Number of Books</w:t>
            </w:r>
          </w:p>
        </w:tc>
        <w:tc>
          <w:tcPr>
            <w:tcW w:type="dxa" w:w="1260"/>
            <w:tcBorders>
              <w:top w:color="FFFFFF" w:space="0" w:sz="8" w:val="single"/>
              <w:left w:color="FFFFFF" w:space="0" w:sz="8" w:val="single"/>
              <w:bottom w:color="FFFFFF" w:space="0" w:sz="24" w:val="single"/>
              <w:right w:color="FFFFFF" w:space="0" w:sz="8" w:val="single"/>
            </w:tcBorders>
            <w:shd w:fill="4F81BD" w:val="clear"/>
            <w:tcMar>
              <w:left w:type="dxa" w:w="35"/>
            </w:tcMar>
            <w:vAlign w:val="bottom"/>
          </w:tcPr>
          <w:p>
            <w:pPr>
              <w:pStyle w:val="style40"/>
              <w:spacing w:after="28" w:before="28"/>
              <w:contextualSpacing w:val="false"/>
            </w:pPr>
            <w:r>
              <w:rPr>
                <w:rFonts w:ascii="Calibri" w:hAnsi="Calibri"/>
                <w:b/>
                <w:bCs/>
                <w:sz w:val="20"/>
                <w:szCs w:val="20"/>
              </w:rPr>
              <w:t xml:space="preserve">Total Checkout </w:t>
            </w:r>
          </w:p>
        </w:tc>
        <w:tc>
          <w:tcPr>
            <w:tcW w:type="dxa" w:w="1478"/>
            <w:tcBorders>
              <w:top w:color="FFFFFF" w:space="0" w:sz="8" w:val="single"/>
              <w:left w:color="FFFFFF" w:space="0" w:sz="8" w:val="single"/>
              <w:bottom w:color="FFFFFF" w:space="0" w:sz="24" w:val="single"/>
              <w:right w:color="FFFFFF" w:space="0" w:sz="8" w:val="single"/>
            </w:tcBorders>
            <w:shd w:fill="00B050" w:val="clear"/>
            <w:tcMar>
              <w:left w:type="dxa" w:w="35"/>
            </w:tcMar>
            <w:vAlign w:val="bottom"/>
          </w:tcPr>
          <w:p>
            <w:pPr>
              <w:pStyle w:val="style40"/>
              <w:spacing w:after="28" w:before="28"/>
              <w:contextualSpacing w:val="false"/>
            </w:pPr>
            <w:r>
              <w:rPr>
                <w:rFonts w:ascii="Calibri" w:hAnsi="Calibri"/>
                <w:b/>
                <w:bCs/>
                <w:sz w:val="18"/>
                <w:szCs w:val="18"/>
              </w:rPr>
              <w:t>h-index = 24</w:t>
            </w:r>
          </w:p>
        </w:tc>
      </w:tr>
      <w:tr>
        <w:trPr>
          <w:trHeight w:hRule="atLeast" w:val="356"/>
          <w:cantSplit w:val="false"/>
        </w:trPr>
        <w:tc>
          <w:tcPr>
            <w:tcW w:type="dxa" w:w="845"/>
            <w:tcBorders>
              <w:top w:color="FFFFFF" w:space="0" w:sz="24"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1</w:t>
            </w:r>
          </w:p>
        </w:tc>
        <w:tc>
          <w:tcPr>
            <w:tcW w:type="dxa" w:w="1079"/>
            <w:tcBorders>
              <w:top w:color="FFFFFF" w:space="0" w:sz="24"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 </w:t>
            </w:r>
            <w:r>
              <w:rPr>
                <w:rFonts w:ascii="Calibri" w:hAnsi="Calibri"/>
                <w:sz w:val="20"/>
                <w:szCs w:val="20"/>
              </w:rPr>
              <w:t xml:space="preserve">956 </w:t>
            </w:r>
          </w:p>
        </w:tc>
        <w:tc>
          <w:tcPr>
            <w:tcW w:type="dxa" w:w="2802"/>
            <w:tcBorders>
              <w:top w:color="FFFFFF" w:space="0" w:sz="24" w:val="single"/>
              <w:left w:color="FFFFFF" w:space="0" w:sz="8" w:val="single"/>
              <w:bottom w:color="FFFFFF" w:space="0" w:sz="8" w:val="single"/>
              <w:right w:color="FFFFFF" w:space="0" w:sz="8" w:val="single"/>
            </w:tcBorders>
            <w:shd w:fill="D0D8E8" w:val="clear"/>
            <w:tcMar>
              <w:left w:type="dxa" w:w="35"/>
            </w:tcMar>
          </w:tcPr>
          <w:p>
            <w:pPr>
              <w:pStyle w:val="style40"/>
              <w:spacing w:after="28" w:before="28"/>
              <w:contextualSpacing w:val="false"/>
            </w:pPr>
            <w:r>
              <w:rPr>
                <w:rFonts w:ascii="Calibri" w:hAnsi="Calibri"/>
                <w:sz w:val="20"/>
                <w:szCs w:val="20"/>
              </w:rPr>
              <w:t>Middle East (Near East)</w:t>
            </w:r>
          </w:p>
        </w:tc>
        <w:tc>
          <w:tcPr>
            <w:tcW w:type="dxa" w:w="1530"/>
            <w:tcBorders>
              <w:top w:color="FFFFFF" w:space="0" w:sz="24"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381</w:t>
            </w:r>
          </w:p>
        </w:tc>
        <w:tc>
          <w:tcPr>
            <w:tcW w:type="dxa" w:w="1259"/>
            <w:tcBorders>
              <w:top w:color="FFFFFF" w:space="0" w:sz="24"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1036</w:t>
            </w:r>
          </w:p>
        </w:tc>
        <w:tc>
          <w:tcPr>
            <w:tcW w:type="dxa" w:w="1479"/>
            <w:vMerge w:val="restart"/>
            <w:tcBorders>
              <w:top w:color="FFFFFF" w:space="0" w:sz="24"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Verdana" w:hAnsi="Verdana"/>
                <w:sz w:val="18"/>
                <w:szCs w:val="18"/>
              </w:rPr>
              <w:t> </w:t>
            </w:r>
          </w:p>
          <w:p>
            <w:pPr>
              <w:pStyle w:val="style40"/>
            </w:pPr>
            <w:r>
              <w:rPr>
                <w:rFonts w:ascii="Verdana" w:hAnsi="Verdana"/>
                <w:sz w:val="18"/>
                <w:szCs w:val="18"/>
              </w:rPr>
              <w:t> </w:t>
            </w:r>
          </w:p>
          <w:p>
            <w:pPr>
              <w:pStyle w:val="style40"/>
            </w:pPr>
            <w:r>
              <w:rPr>
                <w:rFonts w:ascii="Verdana" w:hAnsi="Verdana"/>
                <w:sz w:val="18"/>
                <w:szCs w:val="18"/>
              </w:rPr>
              <w:t> </w:t>
            </w:r>
          </w:p>
          <w:p>
            <w:pPr>
              <w:pStyle w:val="style40"/>
              <w:spacing w:after="28" w:before="28"/>
              <w:contextualSpacing w:val="false"/>
            </w:pPr>
            <w:r>
              <w:rPr>
                <w:rFonts w:ascii="Verdana" w:hAnsi="Verdana"/>
                <w:sz w:val="18"/>
                <w:szCs w:val="18"/>
              </w:rPr>
              <w:t xml:space="preserve"> </w:t>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FFFF00" w:val="clear"/>
            <w:tcMar>
              <w:left w:type="dxa" w:w="35"/>
            </w:tcMar>
          </w:tcPr>
          <w:p>
            <w:pPr>
              <w:pStyle w:val="style40"/>
              <w:spacing w:after="28" w:before="28"/>
              <w:contextualSpacing w:val="false"/>
            </w:pPr>
            <w:r>
              <w:rPr>
                <w:rFonts w:ascii="Calibri" w:hAnsi="Calibri"/>
                <w:b/>
                <w:bCs/>
                <w:sz w:val="20"/>
                <w:szCs w:val="20"/>
              </w:rPr>
              <w:t>2</w:t>
            </w:r>
          </w:p>
        </w:tc>
        <w:tc>
          <w:tcPr>
            <w:tcW w:type="dxa" w:w="1079"/>
            <w:tcBorders>
              <w:top w:color="FFFFFF" w:space="0" w:sz="8" w:val="single"/>
              <w:left w:color="FFFFFF" w:space="0" w:sz="8" w:val="single"/>
              <w:bottom w:color="FFFFFF" w:space="0" w:sz="8" w:val="single"/>
              <w:right w:color="FFFFFF" w:space="0" w:sz="8" w:val="single"/>
            </w:tcBorders>
            <w:shd w:fill="FFFF00" w:val="clear"/>
            <w:tcMar>
              <w:left w:type="dxa" w:w="35"/>
            </w:tcMar>
            <w:vAlign w:val="bottom"/>
          </w:tcPr>
          <w:p>
            <w:pPr>
              <w:pStyle w:val="style40"/>
              <w:spacing w:after="28" w:before="28"/>
              <w:contextualSpacing w:val="false"/>
            </w:pPr>
            <w:r>
              <w:rPr>
                <w:rFonts w:ascii="Calibri" w:hAnsi="Calibri"/>
                <w:sz w:val="20"/>
                <w:szCs w:val="20"/>
              </w:rPr>
              <w:t xml:space="preserve">04 </w:t>
            </w:r>
          </w:p>
        </w:tc>
        <w:tc>
          <w:tcPr>
            <w:tcW w:type="dxa" w:w="2802"/>
            <w:tcBorders>
              <w:top w:color="FFFFFF" w:space="0" w:sz="8" w:val="single"/>
              <w:left w:color="FFFFFF" w:space="0" w:sz="8" w:val="single"/>
              <w:bottom w:color="FFFFFF" w:space="0" w:sz="8" w:val="single"/>
              <w:right w:color="FFFFFF" w:space="0" w:sz="8" w:val="single"/>
            </w:tcBorders>
            <w:shd w:fill="FFFF00" w:val="clear"/>
            <w:tcMar>
              <w:left w:type="dxa" w:w="35"/>
            </w:tcMar>
          </w:tcPr>
          <w:p>
            <w:pPr>
              <w:pStyle w:val="style40"/>
              <w:spacing w:after="28" w:before="28"/>
              <w:contextualSpacing w:val="false"/>
            </w:pPr>
            <w:r>
              <w:rPr>
                <w:rFonts w:ascii="Calibri" w:hAnsi="Calibri"/>
                <w:sz w:val="20"/>
                <w:szCs w:val="20"/>
              </w:rPr>
              <w:t>1945-1980</w:t>
            </w:r>
          </w:p>
        </w:tc>
        <w:tc>
          <w:tcPr>
            <w:tcW w:type="dxa" w:w="1530"/>
            <w:tcBorders>
              <w:top w:color="FFFFFF" w:space="0" w:sz="8" w:val="single"/>
              <w:left w:color="FFFFFF" w:space="0" w:sz="8" w:val="single"/>
              <w:bottom w:color="FFFFFF" w:space="0" w:sz="8" w:val="single"/>
              <w:right w:color="FFFFFF" w:space="0" w:sz="8" w:val="single"/>
            </w:tcBorders>
            <w:shd w:fill="FFFF00" w:val="clear"/>
            <w:tcMar>
              <w:left w:type="dxa" w:w="35"/>
            </w:tcMar>
            <w:vAlign w:val="bottom"/>
          </w:tcPr>
          <w:p>
            <w:pPr>
              <w:pStyle w:val="style40"/>
              <w:spacing w:after="28" w:before="28"/>
              <w:contextualSpacing w:val="false"/>
            </w:pPr>
            <w:r>
              <w:rPr>
                <w:rFonts w:ascii="Calibri" w:hAnsi="Calibri"/>
                <w:sz w:val="20"/>
                <w:szCs w:val="20"/>
              </w:rPr>
              <w:t>103</w:t>
            </w:r>
          </w:p>
        </w:tc>
        <w:tc>
          <w:tcPr>
            <w:tcW w:type="dxa" w:w="1259"/>
            <w:tcBorders>
              <w:top w:color="FFFFFF" w:space="0" w:sz="8" w:val="single"/>
              <w:left w:color="FFFFFF" w:space="0" w:sz="8" w:val="single"/>
              <w:bottom w:color="FFFFFF" w:space="0" w:sz="8" w:val="single"/>
              <w:right w:color="FFFFFF" w:space="0" w:sz="8" w:val="single"/>
            </w:tcBorders>
            <w:shd w:fill="FFFF00" w:val="clear"/>
            <w:tcMar>
              <w:left w:type="dxa" w:w="35"/>
            </w:tcMar>
            <w:vAlign w:val="bottom"/>
          </w:tcPr>
          <w:p>
            <w:pPr>
              <w:pStyle w:val="style40"/>
              <w:spacing w:after="28" w:before="28"/>
              <w:contextualSpacing w:val="false"/>
            </w:pPr>
            <w:r>
              <w:rPr>
                <w:rFonts w:ascii="Calibri" w:hAnsi="Calibri"/>
                <w:sz w:val="20"/>
                <w:szCs w:val="20"/>
              </w:rPr>
              <w:t>481</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3</w:t>
            </w:r>
          </w:p>
        </w:tc>
        <w:tc>
          <w:tcPr>
            <w:tcW w:type="dxa" w:w="107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67</w:t>
            </w:r>
          </w:p>
        </w:tc>
        <w:tc>
          <w:tcPr>
            <w:tcW w:type="dxa" w:w="2802"/>
            <w:tcBorders>
              <w:top w:color="FFFFFF" w:space="0" w:sz="8" w:val="single"/>
              <w:left w:color="FFFFFF" w:space="0" w:sz="8" w:val="single"/>
              <w:bottom w:color="FFFFFF" w:space="0" w:sz="8" w:val="single"/>
              <w:right w:color="FFFFFF" w:space="0" w:sz="8" w:val="single"/>
            </w:tcBorders>
            <w:shd w:fill="D0D8E8" w:val="clear"/>
            <w:tcMar>
              <w:left w:type="dxa" w:w="35"/>
            </w:tcMar>
          </w:tcPr>
          <w:p>
            <w:pPr>
              <w:pStyle w:val="style40"/>
              <w:spacing w:after="28" w:before="28"/>
              <w:contextualSpacing w:val="false"/>
            </w:pPr>
            <w:r>
              <w:rPr>
                <w:rFonts w:ascii="Calibri" w:hAnsi="Calibri"/>
                <w:sz w:val="20"/>
                <w:szCs w:val="20"/>
              </w:rPr>
              <w:t>minority middle east</w:t>
            </w:r>
          </w:p>
        </w:tc>
        <w:tc>
          <w:tcPr>
            <w:tcW w:type="dxa" w:w="1530"/>
            <w:tcBorders>
              <w:top w:color="FFFFFF" w:space="0" w:sz="8" w:val="single"/>
              <w:left w:color="FFFFFF" w:space="0" w:sz="8" w:val="single"/>
              <w:bottom w:color="FFFFFF" w:space="0" w:sz="8" w:val="single"/>
              <w:right w:color="FFFFFF" w:space="0" w:sz="8" w:val="single"/>
            </w:tcBorders>
            <w:shd w:fill="FFC000" w:val="clear"/>
            <w:tcMar>
              <w:left w:type="dxa" w:w="35"/>
            </w:tcMar>
            <w:vAlign w:val="bottom"/>
          </w:tcPr>
          <w:p>
            <w:pPr>
              <w:pStyle w:val="style40"/>
              <w:spacing w:after="28" w:before="28"/>
              <w:contextualSpacing w:val="false"/>
            </w:pPr>
            <w:r>
              <w:rPr>
                <w:rFonts w:ascii="Calibri" w:hAnsi="Calibri"/>
                <w:sz w:val="20"/>
                <w:szCs w:val="20"/>
              </w:rPr>
              <w:t>21</w:t>
            </w:r>
          </w:p>
        </w:tc>
        <w:tc>
          <w:tcPr>
            <w:tcW w:type="dxa" w:w="1259"/>
            <w:tcBorders>
              <w:top w:color="FFFFFF" w:space="0" w:sz="8" w:val="single"/>
              <w:left w:color="FFFFFF" w:space="0" w:sz="8" w:val="single"/>
              <w:bottom w:color="FFFFFF" w:space="0" w:sz="8" w:val="single"/>
              <w:right w:color="FFFFFF" w:space="0" w:sz="8" w:val="single"/>
            </w:tcBorders>
            <w:shd w:fill="FFC000" w:val="clear"/>
            <w:tcMar>
              <w:left w:type="dxa" w:w="35"/>
            </w:tcMar>
            <w:vAlign w:val="bottom"/>
          </w:tcPr>
          <w:p>
            <w:pPr>
              <w:pStyle w:val="style40"/>
              <w:spacing w:after="28" w:before="28"/>
              <w:contextualSpacing w:val="false"/>
            </w:pPr>
            <w:r>
              <w:rPr>
                <w:rFonts w:ascii="Calibri" w:hAnsi="Calibri"/>
                <w:sz w:val="20"/>
                <w:szCs w:val="20"/>
              </w:rPr>
              <w:t>193</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4</w:t>
            </w:r>
          </w:p>
        </w:tc>
        <w:tc>
          <w:tcPr>
            <w:tcW w:type="dxa" w:w="107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05</w:t>
            </w:r>
          </w:p>
        </w:tc>
        <w:tc>
          <w:tcPr>
            <w:tcW w:type="dxa" w:w="2802"/>
            <w:tcBorders>
              <w:top w:color="FFFFFF" w:space="0" w:sz="8" w:val="single"/>
              <w:left w:color="FFFFFF" w:space="0" w:sz="8" w:val="single"/>
              <w:bottom w:color="FFFFFF" w:space="0" w:sz="8" w:val="single"/>
              <w:right w:color="FFFFFF" w:space="0" w:sz="8" w:val="single"/>
            </w:tcBorders>
            <w:shd w:fill="E9EDF4" w:val="clear"/>
            <w:tcMar>
              <w:left w:type="dxa" w:w="35"/>
            </w:tcMar>
          </w:tcPr>
          <w:p>
            <w:pPr>
              <w:pStyle w:val="style40"/>
              <w:spacing w:after="28" w:before="28"/>
              <w:contextualSpacing w:val="false"/>
            </w:pPr>
            <w:r>
              <w:rPr>
                <w:rFonts w:ascii="Calibri" w:hAnsi="Calibri"/>
                <w:sz w:val="20"/>
                <w:szCs w:val="20"/>
              </w:rPr>
              <w:t>1980-</w:t>
            </w:r>
          </w:p>
        </w:tc>
        <w:tc>
          <w:tcPr>
            <w:tcW w:type="dxa" w:w="1530"/>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34</w:t>
            </w:r>
          </w:p>
        </w:tc>
        <w:tc>
          <w:tcPr>
            <w:tcW w:type="dxa" w:w="125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150</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5</w:t>
            </w:r>
          </w:p>
        </w:tc>
        <w:tc>
          <w:tcPr>
            <w:tcW w:type="dxa" w:w="107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101</w:t>
            </w:r>
          </w:p>
        </w:tc>
        <w:tc>
          <w:tcPr>
            <w:tcW w:type="dxa" w:w="2802"/>
            <w:tcBorders>
              <w:top w:color="FFFFFF" w:space="0" w:sz="8" w:val="single"/>
              <w:left w:color="FFFFFF" w:space="0" w:sz="8" w:val="single"/>
              <w:bottom w:color="FFFFFF" w:space="0" w:sz="8" w:val="single"/>
              <w:right w:color="FFFFFF" w:space="0" w:sz="8" w:val="single"/>
            </w:tcBorders>
            <w:shd w:fill="D0D8E8" w:val="clear"/>
            <w:tcMar>
              <w:left w:type="dxa" w:w="35"/>
            </w:tcMar>
          </w:tcPr>
          <w:p>
            <w:pPr>
              <w:pStyle w:val="style40"/>
              <w:spacing w:after="28" w:before="28"/>
              <w:contextualSpacing w:val="false"/>
            </w:pPr>
            <w:r>
              <w:rPr>
                <w:rFonts w:ascii="Calibri" w:hAnsi="Calibri"/>
                <w:sz w:val="20"/>
                <w:szCs w:val="20"/>
              </w:rPr>
              <w:t>Early history to 1918</w:t>
            </w:r>
          </w:p>
        </w:tc>
        <w:tc>
          <w:tcPr>
            <w:tcW w:type="dxa" w:w="1530"/>
            <w:tcBorders>
              <w:top w:color="FFFFFF" w:space="0" w:sz="8" w:val="single"/>
              <w:left w:color="FFFFFF" w:space="0" w:sz="8" w:val="single"/>
              <w:bottom w:color="FFFFFF" w:space="0" w:sz="8" w:val="single"/>
              <w:right w:color="FFFFFF" w:space="0" w:sz="8" w:val="single"/>
            </w:tcBorders>
            <w:shd w:fill="FFC000" w:val="clear"/>
            <w:tcMar>
              <w:left w:type="dxa" w:w="35"/>
            </w:tcMar>
            <w:vAlign w:val="bottom"/>
          </w:tcPr>
          <w:p>
            <w:pPr>
              <w:pStyle w:val="style40"/>
              <w:spacing w:after="28" w:before="28"/>
              <w:contextualSpacing w:val="false"/>
            </w:pPr>
            <w:r>
              <w:rPr>
                <w:rFonts w:ascii="Calibri" w:hAnsi="Calibri"/>
                <w:sz w:val="20"/>
                <w:szCs w:val="20"/>
              </w:rPr>
              <w:t>11</w:t>
            </w:r>
          </w:p>
        </w:tc>
        <w:tc>
          <w:tcPr>
            <w:tcW w:type="dxa" w:w="1259"/>
            <w:tcBorders>
              <w:top w:color="FFFFFF" w:space="0" w:sz="8" w:val="single"/>
              <w:left w:color="FFFFFF" w:space="0" w:sz="8" w:val="single"/>
              <w:bottom w:color="FFFFFF" w:space="0" w:sz="8" w:val="single"/>
              <w:right w:color="FFFFFF" w:space="0" w:sz="8" w:val="single"/>
            </w:tcBorders>
            <w:shd w:fill="FFC000" w:val="clear"/>
            <w:tcMar>
              <w:left w:type="dxa" w:w="35"/>
            </w:tcMar>
            <w:vAlign w:val="bottom"/>
          </w:tcPr>
          <w:p>
            <w:pPr>
              <w:pStyle w:val="style40"/>
              <w:spacing w:after="28" w:before="28"/>
              <w:contextualSpacing w:val="false"/>
            </w:pPr>
            <w:r>
              <w:rPr>
                <w:rFonts w:ascii="Calibri" w:hAnsi="Calibri"/>
                <w:sz w:val="20"/>
                <w:szCs w:val="20"/>
              </w:rPr>
              <w:t>107</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6</w:t>
            </w:r>
          </w:p>
        </w:tc>
        <w:tc>
          <w:tcPr>
            <w:tcW w:type="dxa" w:w="107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9204</w:t>
            </w:r>
          </w:p>
        </w:tc>
        <w:tc>
          <w:tcPr>
            <w:tcW w:type="dxa" w:w="2802"/>
            <w:tcBorders>
              <w:top w:color="FFFFFF" w:space="0" w:sz="8" w:val="single"/>
              <w:left w:color="FFFFFF" w:space="0" w:sz="8" w:val="single"/>
              <w:bottom w:color="FFFFFF" w:space="0" w:sz="8" w:val="single"/>
              <w:right w:color="FFFFFF" w:space="0" w:sz="8" w:val="single"/>
            </w:tcBorders>
            <w:shd w:fill="E9EDF4" w:val="clear"/>
            <w:tcMar>
              <w:left w:type="dxa" w:w="35"/>
            </w:tcMar>
          </w:tcPr>
          <w:p>
            <w:pPr>
              <w:pStyle w:val="style40"/>
              <w:spacing w:after="28" w:before="28"/>
              <w:contextualSpacing w:val="false"/>
            </w:pPr>
            <w:r>
              <w:rPr>
                <w:rFonts w:ascii="Calibri" w:hAnsi="Calibri"/>
                <w:sz w:val="20"/>
                <w:szCs w:val="20"/>
              </w:rPr>
              <w:t>1926-</w:t>
            </w:r>
          </w:p>
        </w:tc>
        <w:tc>
          <w:tcPr>
            <w:tcW w:type="dxa" w:w="1530"/>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13</w:t>
            </w:r>
          </w:p>
        </w:tc>
        <w:tc>
          <w:tcPr>
            <w:tcW w:type="dxa" w:w="125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98</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7</w:t>
            </w:r>
          </w:p>
        </w:tc>
        <w:tc>
          <w:tcPr>
            <w:tcW w:type="dxa" w:w="107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053</w:t>
            </w:r>
          </w:p>
        </w:tc>
        <w:tc>
          <w:tcPr>
            <w:tcW w:type="dxa" w:w="2802"/>
            <w:tcBorders>
              <w:top w:color="FFFFFF" w:space="0" w:sz="8" w:val="single"/>
              <w:left w:color="FFFFFF" w:space="0" w:sz="8" w:val="single"/>
              <w:bottom w:color="FFFFFF" w:space="0" w:sz="8" w:val="single"/>
              <w:right w:color="FFFFFF" w:space="0" w:sz="8" w:val="single"/>
            </w:tcBorders>
            <w:shd w:fill="D0D8E8" w:val="clear"/>
            <w:tcMar>
              <w:left w:type="dxa" w:w="35"/>
            </w:tcMar>
          </w:tcPr>
          <w:p>
            <w:pPr>
              <w:pStyle w:val="style40"/>
              <w:spacing w:after="28" w:before="28"/>
              <w:contextualSpacing w:val="false"/>
            </w:pPr>
            <w:r>
              <w:rPr>
                <w:rFonts w:ascii="Calibri" w:hAnsi="Calibri"/>
                <w:sz w:val="20"/>
                <w:szCs w:val="20"/>
              </w:rPr>
              <w:t>1985-1999</w:t>
            </w:r>
          </w:p>
        </w:tc>
        <w:tc>
          <w:tcPr>
            <w:tcW w:type="dxa" w:w="1530"/>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18</w:t>
            </w:r>
          </w:p>
        </w:tc>
        <w:tc>
          <w:tcPr>
            <w:tcW w:type="dxa" w:w="125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96</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8</w:t>
            </w:r>
          </w:p>
        </w:tc>
        <w:tc>
          <w:tcPr>
            <w:tcW w:type="dxa" w:w="107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94</w:t>
            </w:r>
          </w:p>
        </w:tc>
        <w:tc>
          <w:tcPr>
            <w:tcW w:type="dxa" w:w="2802"/>
            <w:tcBorders>
              <w:top w:color="FFFFFF" w:space="0" w:sz="8" w:val="single"/>
              <w:left w:color="FFFFFF" w:space="0" w:sz="8" w:val="single"/>
              <w:bottom w:color="FFFFFF" w:space="0" w:sz="8" w:val="single"/>
              <w:right w:color="FFFFFF" w:space="0" w:sz="8" w:val="single"/>
            </w:tcBorders>
            <w:shd w:fill="E9EDF4" w:val="clear"/>
            <w:tcMar>
              <w:left w:type="dxa" w:w="35"/>
            </w:tcMar>
          </w:tcPr>
          <w:p>
            <w:pPr>
              <w:pStyle w:val="style40"/>
              <w:spacing w:after="28" w:before="28"/>
              <w:contextualSpacing w:val="false"/>
            </w:pPr>
            <w:r>
              <w:rPr>
                <w:rFonts w:ascii="Calibri" w:hAnsi="Calibri"/>
                <w:sz w:val="20"/>
                <w:szCs w:val="20"/>
              </w:rPr>
              <w:t>Palestine; Israel</w:t>
            </w:r>
          </w:p>
        </w:tc>
        <w:tc>
          <w:tcPr>
            <w:tcW w:type="dxa" w:w="1530"/>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31</w:t>
            </w:r>
          </w:p>
        </w:tc>
        <w:tc>
          <w:tcPr>
            <w:tcW w:type="dxa" w:w="125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91</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2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9</w:t>
            </w:r>
          </w:p>
        </w:tc>
        <w:tc>
          <w:tcPr>
            <w:tcW w:type="dxa" w:w="107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9</w:t>
            </w:r>
          </w:p>
        </w:tc>
        <w:tc>
          <w:tcPr>
            <w:tcW w:type="dxa" w:w="2802"/>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Syria, Lebanon, Cyprus, Israel, Jordan</w:t>
            </w:r>
          </w:p>
        </w:tc>
        <w:tc>
          <w:tcPr>
            <w:tcW w:type="dxa" w:w="1530"/>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67</w:t>
            </w:r>
          </w:p>
        </w:tc>
        <w:tc>
          <w:tcPr>
            <w:tcW w:type="dxa" w:w="125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80</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583"/>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10</w:t>
            </w:r>
          </w:p>
        </w:tc>
        <w:tc>
          <w:tcPr>
            <w:tcW w:type="dxa" w:w="107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7043</w:t>
            </w:r>
          </w:p>
        </w:tc>
        <w:tc>
          <w:tcPr>
            <w:tcW w:type="dxa" w:w="2802"/>
            <w:tcBorders>
              <w:top w:color="FFFFFF" w:space="0" w:sz="8" w:val="single"/>
              <w:left w:color="FFFFFF" w:space="0" w:sz="8" w:val="single"/>
              <w:bottom w:color="FFFFFF" w:space="0" w:sz="8" w:val="single"/>
              <w:right w:color="FFFFFF" w:space="0" w:sz="8" w:val="single"/>
            </w:tcBorders>
            <w:shd w:fill="E9EDF4" w:val="clear"/>
            <w:tcMar>
              <w:left w:type="dxa" w:w="35"/>
            </w:tcMar>
          </w:tcPr>
          <w:p>
            <w:pPr>
              <w:pStyle w:val="style40"/>
              <w:spacing w:after="28" w:before="28"/>
              <w:contextualSpacing w:val="false"/>
            </w:pPr>
            <w:r>
              <w:rPr>
                <w:rFonts w:ascii="Calibri" w:hAnsi="Calibri"/>
                <w:sz w:val="20"/>
                <w:szCs w:val="20"/>
              </w:rPr>
              <w:t>*Iraq</w:t>
              <w:br/>
              <w:t>Period of Republic, 1958-</w:t>
            </w:r>
          </w:p>
        </w:tc>
        <w:tc>
          <w:tcPr>
            <w:tcW w:type="dxa" w:w="1530"/>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13</w:t>
            </w:r>
          </w:p>
        </w:tc>
        <w:tc>
          <w:tcPr>
            <w:tcW w:type="dxa" w:w="125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75</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11</w:t>
            </w:r>
          </w:p>
        </w:tc>
        <w:tc>
          <w:tcPr>
            <w:tcW w:type="dxa" w:w="107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01</w:t>
            </w:r>
          </w:p>
        </w:tc>
        <w:tc>
          <w:tcPr>
            <w:tcW w:type="dxa" w:w="2802"/>
            <w:tcBorders>
              <w:top w:color="FFFFFF" w:space="0" w:sz="8" w:val="single"/>
              <w:left w:color="FFFFFF" w:space="0" w:sz="8" w:val="single"/>
              <w:bottom w:color="FFFFFF" w:space="0" w:sz="8" w:val="single"/>
              <w:right w:color="FFFFFF" w:space="0" w:sz="8" w:val="single"/>
            </w:tcBorders>
            <w:shd w:fill="D0D8E8" w:val="clear"/>
            <w:tcMar>
              <w:left w:type="dxa" w:w="35"/>
            </w:tcMar>
          </w:tcPr>
          <w:p>
            <w:pPr>
              <w:pStyle w:val="style40"/>
              <w:spacing w:after="28" w:before="28"/>
              <w:contextualSpacing w:val="false"/>
            </w:pPr>
            <w:r>
              <w:rPr>
                <w:rFonts w:ascii="Calibri" w:hAnsi="Calibri"/>
                <w:sz w:val="20"/>
                <w:szCs w:val="20"/>
              </w:rPr>
              <w:t>Early history to 1900</w:t>
            </w:r>
          </w:p>
        </w:tc>
        <w:tc>
          <w:tcPr>
            <w:tcW w:type="dxa" w:w="1530"/>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10</w:t>
            </w:r>
          </w:p>
        </w:tc>
        <w:tc>
          <w:tcPr>
            <w:tcW w:type="dxa" w:w="125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65</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12</w:t>
            </w:r>
          </w:p>
        </w:tc>
        <w:tc>
          <w:tcPr>
            <w:tcW w:type="dxa" w:w="107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015</w:t>
            </w:r>
          </w:p>
        </w:tc>
        <w:tc>
          <w:tcPr>
            <w:tcW w:type="dxa" w:w="2802"/>
            <w:tcBorders>
              <w:top w:color="FFFFFF" w:space="0" w:sz="8" w:val="single"/>
              <w:left w:color="FFFFFF" w:space="0" w:sz="8" w:val="single"/>
              <w:bottom w:color="FFFFFF" w:space="0" w:sz="8" w:val="single"/>
              <w:right w:color="FFFFFF" w:space="0" w:sz="8" w:val="single"/>
            </w:tcBorders>
            <w:shd w:fill="E9EDF4" w:val="clear"/>
            <w:tcMar>
              <w:left w:type="dxa" w:w="35"/>
            </w:tcMar>
          </w:tcPr>
          <w:p>
            <w:pPr>
              <w:pStyle w:val="style40"/>
              <w:spacing w:after="28" w:before="28"/>
              <w:contextualSpacing w:val="false"/>
            </w:pPr>
            <w:r>
              <w:rPr>
                <w:rFonts w:ascii="Calibri" w:hAnsi="Calibri"/>
                <w:sz w:val="20"/>
                <w:szCs w:val="20"/>
              </w:rPr>
              <w:t>1300-1900</w:t>
            </w:r>
          </w:p>
        </w:tc>
        <w:tc>
          <w:tcPr>
            <w:tcW w:type="dxa" w:w="1530"/>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17</w:t>
            </w:r>
          </w:p>
        </w:tc>
        <w:tc>
          <w:tcPr>
            <w:tcW w:type="dxa" w:w="125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65</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583"/>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13</w:t>
            </w:r>
          </w:p>
        </w:tc>
        <w:tc>
          <w:tcPr>
            <w:tcW w:type="dxa" w:w="107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92044</w:t>
            </w:r>
          </w:p>
        </w:tc>
        <w:tc>
          <w:tcPr>
            <w:tcW w:type="dxa" w:w="2802"/>
            <w:tcBorders>
              <w:top w:color="FFFFFF" w:space="0" w:sz="8" w:val="single"/>
              <w:left w:color="FFFFFF" w:space="0" w:sz="8" w:val="single"/>
              <w:bottom w:color="FFFFFF" w:space="0" w:sz="8" w:val="single"/>
              <w:right w:color="FFFFFF" w:space="0" w:sz="8" w:val="single"/>
            </w:tcBorders>
            <w:shd w:fill="D0D8E8" w:val="clear"/>
            <w:tcMar>
              <w:left w:type="dxa" w:w="35"/>
            </w:tcMar>
          </w:tcPr>
          <w:p>
            <w:pPr>
              <w:pStyle w:val="style40"/>
              <w:spacing w:after="28" w:before="28"/>
              <w:contextualSpacing w:val="false"/>
            </w:pPr>
            <w:r>
              <w:rPr>
                <w:rFonts w:ascii="Calibri" w:hAnsi="Calibri"/>
                <w:sz w:val="20"/>
                <w:szCs w:val="20"/>
              </w:rPr>
              <w:t>‡</w:t>
            </w:r>
            <w:r>
              <w:rPr>
                <w:rFonts w:ascii="Calibri" w:hAnsi="Calibri"/>
                <w:sz w:val="20"/>
                <w:szCs w:val="20"/>
              </w:rPr>
              <w:t>Period of civil war and religious strife, 1975-1990</w:t>
            </w:r>
          </w:p>
        </w:tc>
        <w:tc>
          <w:tcPr>
            <w:tcW w:type="dxa" w:w="1530"/>
            <w:tcBorders>
              <w:top w:color="FFFFFF" w:space="0" w:sz="8" w:val="single"/>
              <w:left w:color="FFFFFF" w:space="0" w:sz="8" w:val="single"/>
              <w:bottom w:color="FFFFFF" w:space="0" w:sz="8" w:val="single"/>
              <w:right w:color="FFFFFF" w:space="0" w:sz="8" w:val="single"/>
            </w:tcBorders>
            <w:shd w:fill="FFC000" w:val="clear"/>
            <w:tcMar>
              <w:left w:type="dxa" w:w="35"/>
            </w:tcMar>
            <w:vAlign w:val="bottom"/>
          </w:tcPr>
          <w:p>
            <w:pPr>
              <w:pStyle w:val="style40"/>
              <w:spacing w:after="28" w:before="28"/>
              <w:contextualSpacing w:val="false"/>
            </w:pPr>
            <w:r>
              <w:rPr>
                <w:rFonts w:ascii="Calibri" w:hAnsi="Calibri"/>
                <w:sz w:val="20"/>
                <w:szCs w:val="20"/>
              </w:rPr>
              <w:t>5</w:t>
            </w:r>
          </w:p>
        </w:tc>
        <w:tc>
          <w:tcPr>
            <w:tcW w:type="dxa" w:w="1259"/>
            <w:tcBorders>
              <w:top w:color="FFFFFF" w:space="0" w:sz="8" w:val="single"/>
              <w:left w:color="FFFFFF" w:space="0" w:sz="8" w:val="single"/>
              <w:bottom w:color="FFFFFF" w:space="0" w:sz="8" w:val="single"/>
              <w:right w:color="FFFFFF" w:space="0" w:sz="8" w:val="single"/>
            </w:tcBorders>
            <w:shd w:fill="FFC000" w:val="clear"/>
            <w:tcMar>
              <w:left w:type="dxa" w:w="35"/>
            </w:tcMar>
            <w:vAlign w:val="bottom"/>
          </w:tcPr>
          <w:p>
            <w:pPr>
              <w:pStyle w:val="style40"/>
              <w:spacing w:after="28" w:before="28"/>
              <w:contextualSpacing w:val="false"/>
            </w:pPr>
            <w:r>
              <w:rPr>
                <w:rFonts w:ascii="Calibri" w:hAnsi="Calibri"/>
                <w:sz w:val="20"/>
                <w:szCs w:val="20"/>
              </w:rPr>
              <w:t>65</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14</w:t>
            </w:r>
          </w:p>
        </w:tc>
        <w:tc>
          <w:tcPr>
            <w:tcW w:type="dxa" w:w="107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02</w:t>
            </w:r>
          </w:p>
        </w:tc>
        <w:tc>
          <w:tcPr>
            <w:tcW w:type="dxa" w:w="2802"/>
            <w:tcBorders>
              <w:top w:color="FFFFFF" w:space="0" w:sz="8" w:val="single"/>
              <w:left w:color="FFFFFF" w:space="0" w:sz="8" w:val="single"/>
              <w:bottom w:color="FFFFFF" w:space="0" w:sz="8" w:val="single"/>
              <w:right w:color="FFFFFF" w:space="0" w:sz="8" w:val="single"/>
            </w:tcBorders>
            <w:shd w:fill="E9EDF4" w:val="clear"/>
            <w:tcMar>
              <w:left w:type="dxa" w:w="35"/>
            </w:tcMar>
          </w:tcPr>
          <w:p>
            <w:pPr>
              <w:pStyle w:val="style40"/>
              <w:spacing w:after="28" w:before="28"/>
              <w:contextualSpacing w:val="false"/>
            </w:pPr>
            <w:r>
              <w:rPr>
                <w:rFonts w:ascii="Calibri" w:hAnsi="Calibri"/>
                <w:sz w:val="20"/>
                <w:szCs w:val="20"/>
              </w:rPr>
              <w:t>1900-1918</w:t>
            </w:r>
          </w:p>
        </w:tc>
        <w:tc>
          <w:tcPr>
            <w:tcW w:type="dxa" w:w="1530"/>
            <w:tcBorders>
              <w:top w:color="FFFFFF" w:space="0" w:sz="8" w:val="single"/>
              <w:left w:color="FFFFFF" w:space="0" w:sz="8" w:val="single"/>
              <w:bottom w:color="FFFFFF" w:space="0" w:sz="8" w:val="single"/>
              <w:right w:color="FFFFFF" w:space="0" w:sz="8" w:val="single"/>
            </w:tcBorders>
            <w:shd w:fill="FFC000" w:val="clear"/>
            <w:tcMar>
              <w:left w:type="dxa" w:w="35"/>
            </w:tcMar>
            <w:vAlign w:val="bottom"/>
          </w:tcPr>
          <w:p>
            <w:pPr>
              <w:pStyle w:val="style40"/>
              <w:spacing w:after="28" w:before="28"/>
              <w:contextualSpacing w:val="false"/>
            </w:pPr>
            <w:r>
              <w:rPr>
                <w:rFonts w:ascii="Calibri" w:hAnsi="Calibri"/>
                <w:sz w:val="20"/>
                <w:szCs w:val="20"/>
              </w:rPr>
              <w:t>6</w:t>
            </w:r>
          </w:p>
        </w:tc>
        <w:tc>
          <w:tcPr>
            <w:tcW w:type="dxa" w:w="1259"/>
            <w:tcBorders>
              <w:top w:color="FFFFFF" w:space="0" w:sz="8" w:val="single"/>
              <w:left w:color="FFFFFF" w:space="0" w:sz="8" w:val="single"/>
              <w:bottom w:color="FFFFFF" w:space="0" w:sz="8" w:val="single"/>
              <w:right w:color="FFFFFF" w:space="0" w:sz="8" w:val="single"/>
            </w:tcBorders>
            <w:shd w:fill="FFC000" w:val="clear"/>
            <w:tcMar>
              <w:left w:type="dxa" w:w="35"/>
            </w:tcMar>
            <w:vAlign w:val="bottom"/>
          </w:tcPr>
          <w:p>
            <w:pPr>
              <w:pStyle w:val="style40"/>
              <w:spacing w:after="28" w:before="28"/>
              <w:contextualSpacing w:val="false"/>
            </w:pPr>
            <w:r>
              <w:rPr>
                <w:rFonts w:ascii="Calibri" w:hAnsi="Calibri"/>
                <w:sz w:val="20"/>
                <w:szCs w:val="20"/>
              </w:rPr>
              <w:t>51</w:t>
            </w:r>
          </w:p>
        </w:tc>
        <w:p>
          <w:pPr>
            <w:pStyle w:val="style48"/>
            <w:spacing w:after="120" w:before="0"/>
            <w:contextualSpacing w:val="false"/>
          </w:pPr>
          <w:r>
            <w:rPr>
              <w:sz w:val="20"/>
              <w:szCs w:val="20"/>
            </w:rPr>
            <w:t>8 books in Harvard</w:t>
          </w:r>
        </w:p>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15</w:t>
            </w:r>
          </w:p>
        </w:tc>
        <w:tc>
          <w:tcPr>
            <w:tcW w:type="dxa" w:w="107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7</w:t>
            </w:r>
          </w:p>
        </w:tc>
        <w:tc>
          <w:tcPr>
            <w:tcW w:type="dxa" w:w="2802"/>
            <w:tcBorders>
              <w:top w:color="FFFFFF" w:space="0" w:sz="8" w:val="single"/>
              <w:left w:color="FFFFFF" w:space="0" w:sz="8" w:val="single"/>
              <w:bottom w:color="FFFFFF" w:space="0" w:sz="8" w:val="single"/>
              <w:right w:color="FFFFFF" w:space="0" w:sz="8" w:val="single"/>
            </w:tcBorders>
            <w:shd w:fill="D0D8E8" w:val="clear"/>
            <w:tcMar>
              <w:left w:type="dxa" w:w="35"/>
            </w:tcMar>
          </w:tcPr>
          <w:p>
            <w:pPr>
              <w:pStyle w:val="style40"/>
              <w:spacing w:after="28" w:before="28"/>
              <w:contextualSpacing w:val="false"/>
            </w:pPr>
            <w:r>
              <w:rPr>
                <w:rFonts w:ascii="Calibri" w:hAnsi="Calibri"/>
                <w:sz w:val="20"/>
                <w:szCs w:val="20"/>
              </w:rPr>
              <w:t>Iraq</w:t>
            </w:r>
          </w:p>
        </w:tc>
        <w:tc>
          <w:tcPr>
            <w:tcW w:type="dxa" w:w="1530"/>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11</w:t>
            </w:r>
          </w:p>
        </w:tc>
        <w:tc>
          <w:tcPr>
            <w:tcW w:type="dxa" w:w="125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47</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16</w:t>
            </w:r>
          </w:p>
        </w:tc>
        <w:tc>
          <w:tcPr>
            <w:tcW w:type="dxa" w:w="107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072</w:t>
            </w:r>
          </w:p>
        </w:tc>
        <w:tc>
          <w:tcPr>
            <w:tcW w:type="dxa" w:w="2802"/>
            <w:tcBorders>
              <w:top w:color="FFFFFF" w:space="0" w:sz="8" w:val="single"/>
              <w:left w:color="FFFFFF" w:space="0" w:sz="8" w:val="single"/>
              <w:bottom w:color="FFFFFF" w:space="0" w:sz="8" w:val="single"/>
              <w:right w:color="FFFFFF" w:space="0" w:sz="8" w:val="single"/>
            </w:tcBorders>
            <w:shd w:fill="E9EDF4" w:val="clear"/>
            <w:tcMar>
              <w:left w:type="dxa" w:w="35"/>
            </w:tcMar>
          </w:tcPr>
          <w:p>
            <w:pPr>
              <w:pStyle w:val="style40"/>
              <w:spacing w:after="28" w:before="28"/>
              <w:contextualSpacing w:val="false"/>
            </w:pPr>
            <w:r>
              <w:rPr>
                <w:rFonts w:ascii="Calibri" w:hAnsi="Calibri"/>
                <w:sz w:val="20"/>
                <w:szCs w:val="20"/>
              </w:rPr>
              <w:t>orientalism</w:t>
            </w:r>
          </w:p>
        </w:tc>
        <w:tc>
          <w:tcPr>
            <w:tcW w:type="dxa" w:w="1530"/>
            <w:tcBorders>
              <w:top w:color="FFFFFF" w:space="0" w:sz="8" w:val="single"/>
              <w:left w:color="FFFFFF" w:space="0" w:sz="8" w:val="single"/>
              <w:bottom w:color="FFFFFF" w:space="0" w:sz="8" w:val="single"/>
              <w:right w:color="FFFFFF" w:space="0" w:sz="8" w:val="single"/>
            </w:tcBorders>
            <w:shd w:fill="FFC000" w:val="clear"/>
            <w:tcMar>
              <w:left w:type="dxa" w:w="35"/>
            </w:tcMar>
            <w:vAlign w:val="bottom"/>
          </w:tcPr>
          <w:p>
            <w:pPr>
              <w:pStyle w:val="style40"/>
              <w:spacing w:after="28" w:before="28"/>
              <w:contextualSpacing w:val="false"/>
            </w:pPr>
            <w:r>
              <w:rPr>
                <w:rFonts w:ascii="Calibri" w:hAnsi="Calibri"/>
                <w:sz w:val="20"/>
                <w:szCs w:val="20"/>
              </w:rPr>
              <w:t>5</w:t>
            </w:r>
          </w:p>
        </w:tc>
        <w:tc>
          <w:tcPr>
            <w:tcW w:type="dxa" w:w="1259"/>
            <w:tcBorders>
              <w:top w:color="FFFFFF" w:space="0" w:sz="8" w:val="single"/>
              <w:left w:color="FFFFFF" w:space="0" w:sz="8" w:val="single"/>
              <w:bottom w:color="FFFFFF" w:space="0" w:sz="8" w:val="single"/>
              <w:right w:color="FFFFFF" w:space="0" w:sz="8" w:val="single"/>
            </w:tcBorders>
            <w:shd w:fill="FFC000" w:val="clear"/>
            <w:tcMar>
              <w:left w:type="dxa" w:w="35"/>
            </w:tcMar>
            <w:vAlign w:val="bottom"/>
          </w:tcPr>
          <w:p>
            <w:pPr>
              <w:pStyle w:val="style40"/>
              <w:spacing w:after="28" w:before="28"/>
              <w:contextualSpacing w:val="false"/>
            </w:pPr>
            <w:r>
              <w:rPr>
                <w:rFonts w:ascii="Calibri" w:hAnsi="Calibri"/>
                <w:sz w:val="20"/>
                <w:szCs w:val="20"/>
              </w:rPr>
              <w:t>45</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17</w:t>
            </w:r>
          </w:p>
        </w:tc>
        <w:tc>
          <w:tcPr>
            <w:tcW w:type="dxa" w:w="107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03</w:t>
            </w:r>
          </w:p>
        </w:tc>
        <w:tc>
          <w:tcPr>
            <w:tcW w:type="dxa" w:w="2802"/>
            <w:tcBorders>
              <w:top w:color="FFFFFF" w:space="0" w:sz="8" w:val="single"/>
              <w:left w:color="FFFFFF" w:space="0" w:sz="8" w:val="single"/>
              <w:bottom w:color="FFFFFF" w:space="0" w:sz="8" w:val="single"/>
              <w:right w:color="FFFFFF" w:space="0" w:sz="8" w:val="single"/>
            </w:tcBorders>
            <w:shd w:fill="D0D8E8" w:val="clear"/>
            <w:tcMar>
              <w:left w:type="dxa" w:w="35"/>
            </w:tcMar>
          </w:tcPr>
          <w:p>
            <w:pPr>
              <w:pStyle w:val="style40"/>
              <w:spacing w:after="28" w:before="28"/>
              <w:contextualSpacing w:val="false"/>
            </w:pPr>
            <w:r>
              <w:rPr>
                <w:rFonts w:ascii="Calibri" w:hAnsi="Calibri"/>
                <w:sz w:val="20"/>
                <w:szCs w:val="20"/>
              </w:rPr>
              <w:t>1918-1945</w:t>
            </w:r>
          </w:p>
        </w:tc>
        <w:tc>
          <w:tcPr>
            <w:tcW w:type="dxa" w:w="1530"/>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12</w:t>
            </w:r>
          </w:p>
        </w:tc>
        <w:tc>
          <w:tcPr>
            <w:tcW w:type="dxa" w:w="125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45</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18</w:t>
            </w:r>
          </w:p>
        </w:tc>
        <w:tc>
          <w:tcPr>
            <w:tcW w:type="dxa" w:w="107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92043</w:t>
            </w:r>
          </w:p>
        </w:tc>
        <w:tc>
          <w:tcPr>
            <w:tcW w:type="dxa" w:w="2802"/>
            <w:tcBorders>
              <w:top w:color="FFFFFF" w:space="0" w:sz="8" w:val="single"/>
              <w:left w:color="FFFFFF" w:space="0" w:sz="8" w:val="single"/>
              <w:bottom w:color="FFFFFF" w:space="0" w:sz="8" w:val="single"/>
              <w:right w:color="FFFFFF" w:space="0" w:sz="8" w:val="single"/>
            </w:tcBorders>
            <w:shd w:fill="E9EDF4" w:val="clear"/>
            <w:tcMar>
              <w:left w:type="dxa" w:w="35"/>
            </w:tcMar>
          </w:tcPr>
          <w:p>
            <w:pPr>
              <w:pStyle w:val="style40"/>
              <w:spacing w:after="28" w:before="28"/>
              <w:contextualSpacing w:val="false"/>
            </w:pPr>
            <w:r>
              <w:rPr>
                <w:rFonts w:ascii="Calibri" w:hAnsi="Calibri"/>
                <w:sz w:val="20"/>
                <w:szCs w:val="20"/>
              </w:rPr>
              <w:t>1941-</w:t>
            </w:r>
          </w:p>
        </w:tc>
        <w:tc>
          <w:tcPr>
            <w:tcW w:type="dxa" w:w="1530"/>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3</w:t>
            </w:r>
          </w:p>
        </w:tc>
        <w:tc>
          <w:tcPr>
            <w:tcW w:type="dxa" w:w="125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42</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19</w:t>
            </w:r>
          </w:p>
        </w:tc>
        <w:tc>
          <w:tcPr>
            <w:tcW w:type="dxa" w:w="107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7044</w:t>
            </w:r>
          </w:p>
        </w:tc>
        <w:tc>
          <w:tcPr>
            <w:tcW w:type="dxa" w:w="2802"/>
            <w:tcBorders>
              <w:top w:color="FFFFFF" w:space="0" w:sz="8" w:val="single"/>
              <w:left w:color="FFFFFF" w:space="0" w:sz="8" w:val="single"/>
              <w:bottom w:color="FFFFFF" w:space="0" w:sz="8" w:val="single"/>
              <w:right w:color="FFFFFF" w:space="0" w:sz="8" w:val="single"/>
            </w:tcBorders>
            <w:shd w:fill="D0D8E8" w:val="clear"/>
            <w:tcMar>
              <w:left w:type="dxa" w:w="35"/>
            </w:tcMar>
          </w:tcPr>
          <w:p>
            <w:pPr>
              <w:pStyle w:val="style40"/>
              <w:spacing w:after="28" w:before="28"/>
              <w:contextualSpacing w:val="false"/>
            </w:pPr>
            <w:r>
              <w:rPr>
                <w:rFonts w:ascii="Calibri" w:hAnsi="Calibri"/>
                <w:sz w:val="20"/>
                <w:szCs w:val="20"/>
              </w:rPr>
              <w:t>Iraq 1979-</w:t>
            </w:r>
          </w:p>
        </w:tc>
        <w:tc>
          <w:tcPr>
            <w:tcW w:type="dxa" w:w="1530"/>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9</w:t>
            </w:r>
          </w:p>
        </w:tc>
        <w:tc>
          <w:tcPr>
            <w:tcW w:type="dxa" w:w="125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40</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20</w:t>
            </w:r>
          </w:p>
        </w:tc>
        <w:tc>
          <w:tcPr>
            <w:tcW w:type="dxa" w:w="107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004</w:t>
            </w:r>
          </w:p>
        </w:tc>
        <w:tc>
          <w:tcPr>
            <w:tcW w:type="dxa" w:w="2802"/>
            <w:tcBorders>
              <w:top w:color="FFFFFF" w:space="0" w:sz="8" w:val="single"/>
              <w:left w:color="FFFFFF" w:space="0" w:sz="8" w:val="single"/>
              <w:bottom w:color="FFFFFF" w:space="0" w:sz="8" w:val="single"/>
              <w:right w:color="FFFFFF" w:space="0" w:sz="8" w:val="single"/>
            </w:tcBorders>
            <w:shd w:fill="E9EDF4" w:val="clear"/>
            <w:tcMar>
              <w:left w:type="dxa" w:w="35"/>
            </w:tcMar>
          </w:tcPr>
          <w:p>
            <w:pPr>
              <w:pStyle w:val="style40"/>
              <w:spacing w:after="28" w:before="28"/>
              <w:contextualSpacing w:val="false"/>
            </w:pPr>
            <w:r>
              <w:rPr>
                <w:rFonts w:ascii="Calibri" w:hAnsi="Calibri"/>
                <w:sz w:val="20"/>
                <w:szCs w:val="20"/>
              </w:rPr>
              <w:t> </w:t>
            </w:r>
          </w:p>
        </w:tc>
        <w:tc>
          <w:tcPr>
            <w:tcW w:type="dxa" w:w="1530"/>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8</w:t>
            </w:r>
          </w:p>
        </w:tc>
        <w:tc>
          <w:tcPr>
            <w:tcW w:type="dxa" w:w="125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34</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21</w:t>
            </w:r>
          </w:p>
        </w:tc>
        <w:tc>
          <w:tcPr>
            <w:tcW w:type="dxa" w:w="107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054</w:t>
            </w:r>
          </w:p>
        </w:tc>
        <w:tc>
          <w:tcPr>
            <w:tcW w:type="dxa" w:w="2802"/>
            <w:tcBorders>
              <w:top w:color="FFFFFF" w:space="0" w:sz="8" w:val="single"/>
              <w:left w:color="FFFFFF" w:space="0" w:sz="8" w:val="single"/>
              <w:bottom w:color="FFFFFF" w:space="0" w:sz="8" w:val="single"/>
              <w:right w:color="FFFFFF" w:space="0" w:sz="8" w:val="single"/>
            </w:tcBorders>
            <w:shd w:fill="D0D8E8" w:val="clear"/>
            <w:tcMar>
              <w:left w:type="dxa" w:w="35"/>
            </w:tcMar>
          </w:tcPr>
          <w:p>
            <w:pPr>
              <w:pStyle w:val="style40"/>
              <w:spacing w:after="28" w:before="28"/>
              <w:contextualSpacing w:val="false"/>
            </w:pPr>
            <w:r>
              <w:rPr>
                <w:rFonts w:ascii="Calibri" w:hAnsi="Calibri"/>
                <w:sz w:val="20"/>
                <w:szCs w:val="20"/>
              </w:rPr>
              <w:t>Lebanon 2000-</w:t>
            </w:r>
          </w:p>
        </w:tc>
        <w:tc>
          <w:tcPr>
            <w:tcW w:type="dxa" w:w="1530"/>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16</w:t>
            </w:r>
          </w:p>
        </w:tc>
        <w:tc>
          <w:tcPr>
            <w:tcW w:type="dxa" w:w="125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33</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22</w:t>
            </w:r>
          </w:p>
        </w:tc>
        <w:tc>
          <w:tcPr>
            <w:tcW w:type="dxa" w:w="107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92</w:t>
            </w:r>
          </w:p>
        </w:tc>
        <w:tc>
          <w:tcPr>
            <w:tcW w:type="dxa" w:w="2802"/>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Lebanon</w:t>
            </w:r>
          </w:p>
        </w:tc>
        <w:tc>
          <w:tcPr>
            <w:tcW w:type="dxa" w:w="1530"/>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10</w:t>
            </w:r>
          </w:p>
        </w:tc>
        <w:tc>
          <w:tcPr>
            <w:tcW w:type="dxa" w:w="1259"/>
            <w:tcBorders>
              <w:top w:color="FFFFFF" w:space="0" w:sz="8" w:val="single"/>
              <w:left w:color="FFFFFF" w:space="0" w:sz="8" w:val="single"/>
              <w:bottom w:color="FFFFFF" w:space="0" w:sz="8" w:val="single"/>
              <w:right w:color="FFFFFF" w:space="0" w:sz="8" w:val="single"/>
            </w:tcBorders>
            <w:shd w:fill="E9EDF4" w:val="clear"/>
            <w:tcMar>
              <w:left w:type="dxa" w:w="35"/>
            </w:tcMar>
            <w:vAlign w:val="bottom"/>
          </w:tcPr>
          <w:p>
            <w:pPr>
              <w:pStyle w:val="style40"/>
              <w:spacing w:after="28" w:before="28"/>
              <w:contextualSpacing w:val="false"/>
            </w:pPr>
            <w:r>
              <w:rPr>
                <w:rFonts w:ascii="Calibri" w:hAnsi="Calibri"/>
                <w:sz w:val="20"/>
                <w:szCs w:val="20"/>
              </w:rPr>
              <w:t>31</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356"/>
          <w:cantSplit w:val="false"/>
        </w:trPr>
        <w:tc>
          <w:tcPr>
            <w:tcW w:type="dxa" w:w="845"/>
            <w:tcBorders>
              <w:top w:color="FFFFFF" w:space="0" w:sz="8" w:val="single"/>
              <w:left w:color="FFFFFF" w:space="0" w:sz="8" w:val="single"/>
              <w:bottom w:color="FFFFFF" w:space="0" w:sz="8" w:val="single"/>
              <w:right w:color="FFFFFF" w:space="0" w:sz="8" w:val="single"/>
            </w:tcBorders>
            <w:shd w:fill="4F81BD" w:val="clear"/>
            <w:tcMar>
              <w:left w:type="dxa" w:w="35"/>
            </w:tcMar>
          </w:tcPr>
          <w:p>
            <w:pPr>
              <w:pStyle w:val="style40"/>
              <w:spacing w:after="28" w:before="28"/>
              <w:contextualSpacing w:val="false"/>
            </w:pPr>
            <w:r>
              <w:rPr>
                <w:rFonts w:ascii="Calibri" w:hAnsi="Calibri"/>
                <w:b/>
                <w:bCs/>
                <w:sz w:val="20"/>
                <w:szCs w:val="20"/>
              </w:rPr>
              <w:t>23</w:t>
            </w:r>
          </w:p>
        </w:tc>
        <w:tc>
          <w:tcPr>
            <w:tcW w:type="dxa" w:w="107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9405</w:t>
            </w:r>
          </w:p>
        </w:tc>
        <w:tc>
          <w:tcPr>
            <w:tcW w:type="dxa" w:w="2802"/>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 xml:space="preserve">Jordan and West Bank 1923- </w:t>
            </w:r>
          </w:p>
        </w:tc>
        <w:tc>
          <w:tcPr>
            <w:tcW w:type="dxa" w:w="1530"/>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10</w:t>
            </w:r>
          </w:p>
        </w:tc>
        <w:tc>
          <w:tcPr>
            <w:tcW w:type="dxa" w:w="1259"/>
            <w:tcBorders>
              <w:top w:color="FFFFFF" w:space="0" w:sz="8" w:val="single"/>
              <w:left w:color="FFFFFF" w:space="0" w:sz="8" w:val="single"/>
              <w:bottom w:color="FFFFFF" w:space="0" w:sz="8" w:val="single"/>
              <w:right w:color="FFFFFF" w:space="0" w:sz="8" w:val="single"/>
            </w:tcBorders>
            <w:shd w:fill="D0D8E8" w:val="clear"/>
            <w:tcMar>
              <w:left w:type="dxa" w:w="35"/>
            </w:tcMar>
            <w:vAlign w:val="bottom"/>
          </w:tcPr>
          <w:p>
            <w:pPr>
              <w:pStyle w:val="style40"/>
              <w:spacing w:after="28" w:before="28"/>
              <w:contextualSpacing w:val="false"/>
            </w:pPr>
            <w:r>
              <w:rPr>
                <w:rFonts w:ascii="Calibri" w:hAnsi="Calibri"/>
                <w:sz w:val="20"/>
                <w:szCs w:val="20"/>
              </w:rPr>
              <w:t>31</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r>
        <w:trPr>
          <w:trHeight w:hRule="atLeast" w:val="255"/>
          <w:cantSplit w:val="false"/>
        </w:trPr>
        <w:tc>
          <w:tcPr>
            <w:tcW w:type="dxa" w:w="845"/>
            <w:tcBorders>
              <w:top w:color="FFFFFF" w:space="0" w:sz="8" w:val="single"/>
              <w:left w:color="FFFFFF" w:space="0" w:sz="8" w:val="single"/>
              <w:bottom w:color="FFFFFF" w:space="0" w:sz="8" w:val="single"/>
              <w:right w:color="FFFFFF" w:space="0" w:sz="8" w:val="single"/>
            </w:tcBorders>
            <w:shd w:fill="00B050" w:val="clear"/>
            <w:tcMar>
              <w:left w:type="dxa" w:w="35"/>
            </w:tcMar>
          </w:tcPr>
          <w:p>
            <w:pPr>
              <w:pStyle w:val="style40"/>
              <w:spacing w:after="28" w:before="28"/>
              <w:contextualSpacing w:val="false"/>
            </w:pPr>
            <w:r>
              <w:rPr>
                <w:rFonts w:ascii="Calibri" w:hAnsi="Calibri"/>
                <w:b/>
                <w:bCs/>
                <w:sz w:val="20"/>
                <w:szCs w:val="20"/>
              </w:rPr>
              <w:t>24</w:t>
            </w:r>
          </w:p>
        </w:tc>
        <w:tc>
          <w:tcPr>
            <w:tcW w:type="dxa" w:w="1079"/>
            <w:tcBorders>
              <w:top w:color="FFFFFF" w:space="0" w:sz="8" w:val="single"/>
              <w:left w:color="FFFFFF" w:space="0" w:sz="8" w:val="single"/>
              <w:bottom w:color="FFFFFF" w:space="0" w:sz="8" w:val="single"/>
              <w:right w:color="FFFFFF" w:space="0" w:sz="8" w:val="single"/>
            </w:tcBorders>
            <w:shd w:fill="00B050" w:val="clear"/>
            <w:tcMar>
              <w:left w:type="dxa" w:w="35"/>
            </w:tcMar>
            <w:vAlign w:val="bottom"/>
          </w:tcPr>
          <w:p>
            <w:pPr>
              <w:pStyle w:val="style40"/>
              <w:spacing w:after="28" w:before="28"/>
              <w:contextualSpacing w:val="false"/>
            </w:pPr>
            <w:r>
              <w:rPr>
                <w:rFonts w:ascii="Calibri" w:hAnsi="Calibri"/>
                <w:sz w:val="20"/>
                <w:szCs w:val="20"/>
              </w:rPr>
              <w:t>052</w:t>
            </w:r>
          </w:p>
        </w:tc>
        <w:tc>
          <w:tcPr>
            <w:tcW w:type="dxa" w:w="2802"/>
            <w:tcBorders>
              <w:top w:color="FFFFFF" w:space="0" w:sz="8" w:val="single"/>
              <w:left w:color="FFFFFF" w:space="0" w:sz="8" w:val="single"/>
              <w:bottom w:color="FFFFFF" w:space="0" w:sz="8" w:val="single"/>
              <w:right w:color="FFFFFF" w:space="0" w:sz="8" w:val="single"/>
            </w:tcBorders>
            <w:shd w:fill="00B050" w:val="clear"/>
            <w:tcMar>
              <w:left w:type="dxa" w:w="35"/>
            </w:tcMar>
          </w:tcPr>
          <w:p>
            <w:pPr>
              <w:pStyle w:val="style40"/>
              <w:spacing w:after="28" w:before="28"/>
              <w:contextualSpacing w:val="false"/>
            </w:pPr>
            <w:r>
              <w:rPr>
                <w:rFonts w:ascii="Calibri" w:hAnsi="Calibri"/>
                <w:sz w:val="20"/>
                <w:szCs w:val="20"/>
              </w:rPr>
              <w:t>East central Turkey historical period</w:t>
            </w:r>
          </w:p>
        </w:tc>
        <w:tc>
          <w:tcPr>
            <w:tcW w:type="dxa" w:w="1530"/>
            <w:tcBorders>
              <w:top w:color="FFFFFF" w:space="0" w:sz="8" w:val="single"/>
              <w:left w:color="FFFFFF" w:space="0" w:sz="8" w:val="single"/>
              <w:bottom w:color="FFFFFF" w:space="0" w:sz="8" w:val="single"/>
              <w:right w:color="FFFFFF" w:space="0" w:sz="8" w:val="single"/>
            </w:tcBorders>
            <w:shd w:fill="00B050" w:val="clear"/>
            <w:tcMar>
              <w:left w:type="dxa" w:w="35"/>
            </w:tcMar>
            <w:vAlign w:val="bottom"/>
          </w:tcPr>
          <w:p>
            <w:pPr>
              <w:pStyle w:val="style40"/>
              <w:spacing w:after="28" w:before="28"/>
              <w:contextualSpacing w:val="false"/>
            </w:pPr>
            <w:r>
              <w:rPr>
                <w:rFonts w:ascii="Calibri" w:hAnsi="Calibri"/>
                <w:sz w:val="20"/>
                <w:szCs w:val="20"/>
              </w:rPr>
              <w:t>1</w:t>
            </w:r>
          </w:p>
        </w:tc>
        <w:tc>
          <w:tcPr>
            <w:tcW w:type="dxa" w:w="1259"/>
            <w:tcBorders>
              <w:top w:color="FFFFFF" w:space="0" w:sz="8" w:val="single"/>
              <w:left w:color="FFFFFF" w:space="0" w:sz="8" w:val="single"/>
              <w:bottom w:color="FFFFFF" w:space="0" w:sz="8" w:val="single"/>
              <w:right w:color="FFFFFF" w:space="0" w:sz="8" w:val="single"/>
            </w:tcBorders>
            <w:shd w:fill="00B050" w:val="clear"/>
            <w:tcMar>
              <w:left w:type="dxa" w:w="35"/>
            </w:tcMar>
            <w:vAlign w:val="bottom"/>
          </w:tcPr>
          <w:p>
            <w:pPr>
              <w:pStyle w:val="style40"/>
              <w:spacing w:after="28" w:before="28"/>
              <w:contextualSpacing w:val="false"/>
            </w:pPr>
            <w:r>
              <w:rPr>
                <w:rFonts w:ascii="Calibri" w:hAnsi="Calibri"/>
                <w:sz w:val="20"/>
                <w:szCs w:val="20"/>
              </w:rPr>
              <w:t>h-index 28</w:t>
            </w:r>
          </w:p>
        </w:tc>
        <w:tc>
          <w:tcPr>
            <w:tcW w:type="dxa" w:w="1479"/>
            <w:vMerge w:val="continue"/>
            <w:tcBorders>
              <w:top w:color="FFFFFF" w:space="0" w:sz="24" w:val="single"/>
              <w:left w:color="FFFFFF" w:space="0" w:sz="8" w:val="single"/>
              <w:bottom w:color="FFFFFF" w:space="0" w:sz="8" w:val="single"/>
              <w:right w:color="FFFFFF" w:space="0" w:sz="8" w:val="single"/>
            </w:tcBorders>
            <w:shd w:fill="auto" w:val="clear"/>
            <w:tcMar>
              <w:top w:type="dxa" w:w="0"/>
              <w:left w:type="dxa" w:w="-10"/>
              <w:right w:type="dxa" w:w="0"/>
            </w:tcMar>
            <w:vAlign w:val="center"/>
          </w:tcPr>
          <w:p>
            <w:pPr>
              <w:pStyle w:val="style40"/>
              <w:spacing w:after="28" w:before="28"/>
              <w:contextualSpacing w:val="false"/>
            </w:pPr>
            <w:r>
              <w:rPr>
                <w:rFonts w:ascii="Verdana" w:hAnsi="Verdana"/>
                <w:sz w:val="18"/>
                <w:szCs w:val="18"/>
              </w:rPr>
            </w:r>
          </w:p>
        </w:tc>
      </w:tr>
    </w:tbl>
    <w:p>
      <w:pPr>
        <w:pStyle w:val="style40"/>
      </w:pPr>
      <w:r>
        <w:rPr>
          <w:rFonts w:ascii="" w:cs="" w:hAnsi=""/>
        </w:rPr>
        <w:t>A similar analysis can be applied to the 956.04 subfield for each book</w:t>
      </w:r>
    </w:p>
    <w:tbl>
      <w:tblPr>
        <w:jc w:val="left"/>
        <w:tblInd w:type="dxa" w:w="25"/>
        <w:tblBorders>
          <w:top w:color="FFFFFF" w:space="0" w:sz="8" w:val="single"/>
          <w:left w:color="FFFFFF" w:space="0" w:sz="8" w:val="single"/>
          <w:bottom w:color="FFFFFF" w:space="0" w:sz="24" w:val="single"/>
          <w:insideH w:color="FFFFFF" w:space="0" w:sz="24" w:val="single"/>
          <w:right w:color="FFFFFF" w:space="0" w:sz="8" w:val="single"/>
          <w:insideV w:color="FFFFFF" w:space="0" w:sz="8" w:val="single"/>
        </w:tblBorders>
        <w:tblCellMar>
          <w:top w:type="dxa" w:w="15"/>
          <w:left w:type="dxa" w:w="15"/>
          <w:bottom w:type="dxa" w:w="0"/>
          <w:right w:type="dxa" w:w="25"/>
        </w:tblCellMar>
      </w:tblPr>
      <w:tblGrid>
        <w:gridCol w:w="806"/>
        <w:gridCol w:w="731"/>
        <w:gridCol w:w="828"/>
        <w:gridCol w:w="907"/>
        <w:gridCol w:w="1004"/>
        <w:gridCol w:w="3883"/>
      </w:tblGrid>
      <w:tr>
        <w:trPr>
          <w:trHeight w:hRule="atLeast" w:val="540"/>
          <w:cantSplit w:val="false"/>
        </w:trPr>
        <w:tc>
          <w:tcPr>
            <w:tcW w:type="dxa" w:w="806"/>
            <w:tcBorders>
              <w:top w:color="FFFFFF" w:space="0" w:sz="8" w:val="single"/>
              <w:left w:color="FFFFFF" w:space="0" w:sz="8" w:val="single"/>
              <w:bottom w:color="FFFFFF" w:space="0" w:sz="24" w:val="single"/>
              <w:right w:color="FFFFFF" w:space="0" w:sz="8" w:val="single"/>
            </w:tcBorders>
            <w:shd w:fill="4D89BF" w:val="clear"/>
            <w:tcMar>
              <w:left w:type="dxa" w:w="15"/>
            </w:tcMar>
          </w:tcPr>
          <w:p>
            <w:pPr>
              <w:pStyle w:val="style0"/>
              <w:spacing w:line="276" w:lineRule="auto"/>
            </w:pPr>
            <w:r>
              <w:rPr>
                <w:rFonts w:ascii="Calibri" w:cs="Arial" w:hAnsi="Calibri"/>
                <w:b/>
                <w:bCs/>
                <w:color w:val="FFFFFF"/>
                <w:sz w:val="20"/>
                <w:szCs w:val="20"/>
              </w:rPr>
              <w:t> </w:t>
            </w:r>
            <w:r>
              <w:rPr>
                <w:rFonts w:ascii="Calibri" w:cs="Arial" w:hAnsi="Calibri"/>
                <w:b/>
                <w:bCs/>
                <w:color w:val="FFFFFF"/>
                <w:sz w:val="20"/>
                <w:szCs w:val="20"/>
              </w:rPr>
              <w:t>Sorting by total checkout</w:t>
            </w:r>
          </w:p>
        </w:tc>
        <w:tc>
          <w:tcPr>
            <w:tcW w:type="dxa" w:w="731"/>
            <w:tcBorders>
              <w:top w:color="FFFFFF" w:space="0" w:sz="8" w:val="single"/>
              <w:left w:color="FFFFFF" w:space="0" w:sz="8" w:val="single"/>
              <w:bottom w:color="FFFFFF" w:space="0" w:sz="24" w:val="single"/>
              <w:right w:color="FFFFFF" w:space="0" w:sz="8" w:val="single"/>
            </w:tcBorders>
            <w:shd w:fill="4F81BD" w:val="clear"/>
            <w:tcMar>
              <w:left w:type="dxa" w:w="15"/>
            </w:tcMar>
          </w:tcPr>
          <w:p>
            <w:pPr>
              <w:pStyle w:val="style0"/>
              <w:spacing w:line="276" w:lineRule="auto"/>
              <w:jc w:val="center"/>
            </w:pPr>
            <w:r>
              <w:rPr>
                <w:rFonts w:ascii="Calibri" w:cs="Arial" w:hAnsi="Calibri"/>
                <w:b/>
                <w:bCs/>
                <w:color w:val="FFFFFF"/>
                <w:sz w:val="20"/>
                <w:szCs w:val="20"/>
              </w:rPr>
              <w:t>Number of Books</w:t>
            </w:r>
          </w:p>
        </w:tc>
        <w:tc>
          <w:tcPr>
            <w:tcW w:type="dxa" w:w="828"/>
            <w:tcBorders>
              <w:top w:color="FFFFFF" w:space="0" w:sz="8" w:val="single"/>
              <w:left w:color="FFFFFF" w:space="0" w:sz="8" w:val="single"/>
              <w:bottom w:color="FFFFFF" w:space="0" w:sz="24" w:val="single"/>
              <w:right w:color="FFFFFF" w:space="0" w:sz="8" w:val="single"/>
            </w:tcBorders>
            <w:shd w:fill="4F81BD" w:val="clear"/>
            <w:tcMar>
              <w:left w:type="dxa" w:w="15"/>
            </w:tcMar>
          </w:tcPr>
          <w:p>
            <w:pPr>
              <w:pStyle w:val="style0"/>
              <w:spacing w:line="276" w:lineRule="auto"/>
              <w:jc w:val="center"/>
            </w:pPr>
            <w:r>
              <w:rPr>
                <w:rFonts w:ascii="Calibri" w:cs="Arial" w:hAnsi="Calibri"/>
                <w:b/>
                <w:bCs/>
                <w:color w:val="FFFFFF"/>
                <w:sz w:val="20"/>
                <w:szCs w:val="20"/>
              </w:rPr>
              <w:t>Total Checkout</w:t>
            </w:r>
          </w:p>
        </w:tc>
        <w:tc>
          <w:tcPr>
            <w:tcW w:type="dxa" w:w="907"/>
            <w:tcBorders>
              <w:top w:color="FFFFFF" w:space="0" w:sz="8" w:val="single"/>
              <w:left w:color="FFFFFF" w:space="0" w:sz="8" w:val="single"/>
              <w:bottom w:color="FFFFFF" w:space="0" w:sz="24" w:val="single"/>
              <w:right w:color="FFFFFF" w:space="0" w:sz="8" w:val="single"/>
            </w:tcBorders>
            <w:shd w:fill="4F81BD" w:val="clear"/>
            <w:tcMar>
              <w:left w:type="dxa" w:w="15"/>
            </w:tcMar>
          </w:tcPr>
          <w:p>
            <w:pPr>
              <w:pStyle w:val="style0"/>
              <w:spacing w:line="276" w:lineRule="auto"/>
              <w:jc w:val="center"/>
            </w:pPr>
            <w:r>
              <w:rPr>
                <w:rFonts w:ascii="Calibri" w:cs="Arial" w:hAnsi="Calibri"/>
                <w:b/>
                <w:bCs/>
                <w:color w:val="FFFFFF"/>
                <w:sz w:val="20"/>
                <w:szCs w:val="20"/>
              </w:rPr>
              <w:t>Record number</w:t>
            </w:r>
          </w:p>
        </w:tc>
        <w:tc>
          <w:tcPr>
            <w:tcW w:type="dxa" w:w="1004"/>
            <w:tcBorders>
              <w:top w:color="FFFFFF" w:space="0" w:sz="8" w:val="single"/>
              <w:left w:color="FFFFFF" w:space="0" w:sz="8" w:val="single"/>
              <w:bottom w:color="FFFFFF" w:space="0" w:sz="24" w:val="single"/>
              <w:right w:color="FFFFFF" w:space="0" w:sz="8" w:val="single"/>
            </w:tcBorders>
            <w:shd w:fill="4F81BD" w:val="clear"/>
            <w:tcMar>
              <w:left w:type="dxa" w:w="15"/>
            </w:tcMar>
          </w:tcPr>
          <w:p>
            <w:pPr>
              <w:pStyle w:val="style0"/>
              <w:spacing w:line="276" w:lineRule="auto"/>
              <w:jc w:val="center"/>
            </w:pPr>
            <w:r>
              <w:rPr>
                <w:rFonts w:ascii="Calibri" w:hAnsi="Calibri"/>
                <w:b/>
                <w:bCs/>
                <w:color w:val="FFFFFF"/>
                <w:sz w:val="20"/>
                <w:szCs w:val="20"/>
              </w:rPr>
              <w:t xml:space="preserve">Year of Publication </w:t>
            </w:r>
          </w:p>
        </w:tc>
        <w:tc>
          <w:tcPr>
            <w:tcW w:type="dxa" w:w="3883"/>
            <w:tcBorders>
              <w:top w:color="FFFFFF" w:space="0" w:sz="8" w:val="single"/>
              <w:left w:color="FFFFFF" w:space="0" w:sz="8" w:val="single"/>
              <w:bottom w:color="FFFFFF" w:space="0" w:sz="24" w:val="single"/>
              <w:right w:color="FFFFFF" w:space="0" w:sz="8" w:val="single"/>
            </w:tcBorders>
            <w:shd w:fill="4D89BF" w:val="clear"/>
            <w:tcMar>
              <w:left w:type="dxa" w:w="15"/>
            </w:tcMar>
          </w:tcPr>
          <w:p>
            <w:pPr>
              <w:pStyle w:val="style0"/>
              <w:spacing w:line="276" w:lineRule="auto"/>
              <w:jc w:val="center"/>
            </w:pPr>
            <w:r>
              <w:rPr>
                <w:rFonts w:ascii="Calibri" w:cs="Arial" w:hAnsi="Calibri"/>
                <w:b/>
                <w:bCs/>
                <w:color w:val="FFFFFF"/>
                <w:sz w:val="20"/>
                <w:szCs w:val="20"/>
              </w:rPr>
              <w:t>Title</w:t>
            </w:r>
          </w:p>
        </w:tc>
      </w:tr>
      <w:tr>
        <w:trPr>
          <w:trHeight w:hRule="atLeast" w:val="540"/>
          <w:cantSplit w:val="false"/>
        </w:trPr>
        <w:tc>
          <w:tcPr>
            <w:tcW w:type="dxa" w:w="806"/>
            <w:tcBorders>
              <w:top w:color="FFFFFF" w:space="0" w:sz="24" w:val="single"/>
              <w:left w:color="FFFFFF" w:space="0" w:sz="8" w:val="single"/>
              <w:bottom w:color="FFFFFF" w:space="0" w:sz="8" w:val="single"/>
              <w:right w:color="FFFFFF" w:space="0" w:sz="8" w:val="single"/>
            </w:tcBorders>
            <w:shd w:fill="4D89BF" w:val="clear"/>
            <w:tcMar>
              <w:left w:type="dxa" w:w="15"/>
            </w:tcMar>
          </w:tcPr>
          <w:p>
            <w:pPr>
              <w:pStyle w:val="style0"/>
              <w:spacing w:line="276" w:lineRule="auto"/>
              <w:jc w:val="center"/>
            </w:pPr>
            <w:r>
              <w:rPr>
                <w:rFonts w:ascii="Calibri" w:cs="Arial" w:hAnsi="Calibri"/>
                <w:color w:val="FFFFFF"/>
                <w:sz w:val="20"/>
                <w:szCs w:val="20"/>
              </w:rPr>
              <w:t>1</w:t>
            </w:r>
          </w:p>
        </w:tc>
        <w:tc>
          <w:tcPr>
            <w:tcW w:type="dxa" w:w="731"/>
            <w:tcBorders>
              <w:top w:color="FFFFFF" w:space="0" w:sz="24"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1</w:t>
            </w:r>
          </w:p>
        </w:tc>
        <w:tc>
          <w:tcPr>
            <w:tcW w:type="dxa" w:w="828"/>
            <w:tcBorders>
              <w:top w:color="FFFFFF" w:space="0" w:sz="24"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42</w:t>
            </w:r>
          </w:p>
        </w:tc>
        <w:tc>
          <w:tcPr>
            <w:tcW w:type="dxa" w:w="907"/>
            <w:tcBorders>
              <w:top w:color="FFFFFF" w:space="0" w:sz="24"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i14025012</w:t>
            </w:r>
          </w:p>
        </w:tc>
        <w:tc>
          <w:tcPr>
            <w:tcW w:type="dxa" w:w="1004"/>
            <w:tcBorders>
              <w:top w:color="FFFFFF" w:space="0" w:sz="24"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hAnsi="Calibri"/>
                <w:color w:val="000000"/>
                <w:sz w:val="20"/>
                <w:szCs w:val="20"/>
              </w:rPr>
              <w:t>c1995</w:t>
            </w:r>
          </w:p>
        </w:tc>
        <w:tc>
          <w:tcPr>
            <w:tcW w:type="dxa" w:w="3883"/>
            <w:tcBorders>
              <w:top w:color="FFFFFF" w:space="0" w:sz="24"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pPr>
            <w:r>
              <w:rPr>
                <w:rFonts w:ascii="Calibri" w:cs="Arial" w:hAnsi="Calibri"/>
                <w:color w:val="000000"/>
                <w:sz w:val="20"/>
                <w:szCs w:val="20"/>
              </w:rPr>
              <w:t>From Beirut to Jerusalem : updated with a new chapter / Thomas L. Friedman</w:t>
            </w:r>
          </w:p>
        </w:tc>
      </w:tr>
      <w:tr>
        <w:trPr>
          <w:trHeight w:hRule="atLeast" w:val="625"/>
          <w:cantSplit w:val="false"/>
        </w:trPr>
        <w:tc>
          <w:tcPr>
            <w:tcW w:type="dxa" w:w="806"/>
            <w:tcBorders>
              <w:top w:color="FFFFFF" w:space="0" w:sz="8" w:val="single"/>
              <w:left w:color="FFFFFF" w:space="0" w:sz="8" w:val="single"/>
              <w:bottom w:color="FFFFFF" w:space="0" w:sz="8" w:val="single"/>
              <w:right w:color="FFFFFF" w:space="0" w:sz="8" w:val="single"/>
            </w:tcBorders>
            <w:shd w:fill="4D89BF" w:val="clear"/>
            <w:tcMar>
              <w:left w:type="dxa" w:w="15"/>
            </w:tcMar>
          </w:tcPr>
          <w:p>
            <w:pPr>
              <w:pStyle w:val="style0"/>
              <w:spacing w:line="276" w:lineRule="auto"/>
              <w:jc w:val="center"/>
            </w:pPr>
            <w:r>
              <w:rPr>
                <w:rFonts w:ascii="Calibri" w:cs="Arial" w:hAnsi="Calibri"/>
                <w:color w:val="FFFFFF"/>
                <w:sz w:val="20"/>
                <w:szCs w:val="20"/>
              </w:rPr>
              <w:t>2</w:t>
            </w:r>
          </w:p>
        </w:tc>
        <w:tc>
          <w:tcPr>
            <w:tcW w:type="dxa" w:w="731"/>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cs="Arial" w:hAnsi="Calibri"/>
                <w:color w:val="000000"/>
                <w:sz w:val="20"/>
                <w:szCs w:val="20"/>
              </w:rPr>
              <w:t>1</w:t>
            </w:r>
          </w:p>
        </w:tc>
        <w:tc>
          <w:tcPr>
            <w:tcW w:type="dxa" w:w="828"/>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cs="Arial" w:hAnsi="Calibri"/>
                <w:color w:val="000000"/>
                <w:sz w:val="20"/>
                <w:szCs w:val="20"/>
              </w:rPr>
              <w:t>28</w:t>
            </w:r>
          </w:p>
        </w:tc>
        <w:tc>
          <w:tcPr>
            <w:tcW w:type="dxa" w:w="907"/>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cs="Arial" w:hAnsi="Calibri"/>
                <w:color w:val="000000"/>
                <w:sz w:val="20"/>
                <w:szCs w:val="20"/>
              </w:rPr>
              <w:t>i14430447</w:t>
            </w:r>
          </w:p>
        </w:tc>
        <w:tc>
          <w:tcPr>
            <w:tcW w:type="dxa" w:w="1004"/>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hAnsi="Calibri"/>
                <w:color w:val="000000"/>
                <w:sz w:val="20"/>
                <w:szCs w:val="20"/>
              </w:rPr>
              <w:t>2006, c2005</w:t>
            </w:r>
          </w:p>
        </w:tc>
        <w:tc>
          <w:tcPr>
            <w:tcW w:type="dxa" w:w="3883"/>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pPr>
            <w:r>
              <w:rPr>
                <w:rFonts w:ascii="Calibri" w:cs="Arial" w:hAnsi="Calibri"/>
                <w:color w:val="000000"/>
                <w:sz w:val="20"/>
                <w:szCs w:val="20"/>
              </w:rPr>
              <w:t>The great war for civilization : the conquest of the Middle East / Robert Fisk</w:t>
            </w:r>
          </w:p>
        </w:tc>
      </w:tr>
      <w:tr>
        <w:trPr>
          <w:trHeight w:hRule="atLeast" w:val="540"/>
          <w:cantSplit w:val="false"/>
        </w:trPr>
        <w:tc>
          <w:tcPr>
            <w:tcW w:type="dxa" w:w="806"/>
            <w:tcBorders>
              <w:top w:color="FFFFFF" w:space="0" w:sz="8" w:val="single"/>
              <w:left w:color="FFFFFF" w:space="0" w:sz="8" w:val="single"/>
              <w:bottom w:color="FFFFFF" w:space="0" w:sz="8" w:val="single"/>
              <w:right w:color="FFFFFF" w:space="0" w:sz="8" w:val="single"/>
            </w:tcBorders>
            <w:shd w:fill="4D89BF" w:val="clear"/>
            <w:tcMar>
              <w:left w:type="dxa" w:w="15"/>
            </w:tcMar>
          </w:tcPr>
          <w:p>
            <w:pPr>
              <w:pStyle w:val="style0"/>
              <w:spacing w:line="276" w:lineRule="auto"/>
              <w:jc w:val="center"/>
            </w:pPr>
            <w:r>
              <w:rPr>
                <w:rFonts w:ascii="Calibri" w:cs="Arial" w:hAnsi="Calibri"/>
                <w:color w:val="FFFFFF"/>
                <w:sz w:val="20"/>
                <w:szCs w:val="20"/>
              </w:rPr>
              <w:t>3</w:t>
            </w:r>
          </w:p>
        </w:tc>
        <w:tc>
          <w:tcPr>
            <w:tcW w:type="dxa" w:w="731"/>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1</w:t>
            </w:r>
          </w:p>
        </w:tc>
        <w:tc>
          <w:tcPr>
            <w:tcW w:type="dxa" w:w="828"/>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22</w:t>
            </w:r>
          </w:p>
        </w:tc>
        <w:tc>
          <w:tcPr>
            <w:tcW w:type="dxa" w:w="907"/>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i14259515</w:t>
            </w:r>
          </w:p>
        </w:tc>
        <w:tc>
          <w:tcPr>
            <w:tcW w:type="dxa" w:w="1004"/>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hAnsi="Calibri"/>
                <w:color w:val="000000"/>
                <w:sz w:val="20"/>
                <w:szCs w:val="20"/>
              </w:rPr>
              <w:t>c2005</w:t>
            </w:r>
          </w:p>
        </w:tc>
        <w:tc>
          <w:tcPr>
            <w:tcW w:type="dxa" w:w="3883"/>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pPr>
            <w:r>
              <w:rPr>
                <w:rFonts w:ascii="Calibri" w:cs="Arial" w:hAnsi="Calibri"/>
                <w:color w:val="000000"/>
                <w:sz w:val="20"/>
                <w:szCs w:val="20"/>
              </w:rPr>
              <w:t>Teta, mother and me : an Arab woman's memoir / Jean Said Makdisi</w:t>
            </w:r>
          </w:p>
        </w:tc>
      </w:tr>
      <w:tr>
        <w:trPr>
          <w:trHeight w:hRule="atLeast" w:val="540"/>
          <w:cantSplit w:val="false"/>
        </w:trPr>
        <w:tc>
          <w:tcPr>
            <w:tcW w:type="dxa" w:w="806"/>
            <w:tcBorders>
              <w:top w:color="FFFFFF" w:space="0" w:sz="8" w:val="single"/>
              <w:left w:color="FFFFFF" w:space="0" w:sz="8" w:val="single"/>
              <w:bottom w:color="FFFFFF" w:space="0" w:sz="8" w:val="single"/>
              <w:right w:color="FFFFFF" w:space="0" w:sz="8" w:val="single"/>
            </w:tcBorders>
            <w:shd w:fill="4D89BF" w:val="clear"/>
            <w:tcMar>
              <w:left w:type="dxa" w:w="15"/>
            </w:tcMar>
          </w:tcPr>
          <w:p>
            <w:pPr>
              <w:pStyle w:val="style0"/>
              <w:spacing w:line="276" w:lineRule="auto"/>
              <w:jc w:val="center"/>
            </w:pPr>
            <w:r>
              <w:rPr>
                <w:rFonts w:ascii="Calibri" w:cs="Arial" w:hAnsi="Calibri"/>
                <w:color w:val="FFFFFF"/>
                <w:sz w:val="20"/>
                <w:szCs w:val="20"/>
              </w:rPr>
              <w:t>4</w:t>
            </w:r>
          </w:p>
        </w:tc>
        <w:tc>
          <w:tcPr>
            <w:tcW w:type="dxa" w:w="731"/>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cs="Arial" w:hAnsi="Calibri"/>
                <w:color w:val="000000"/>
                <w:sz w:val="20"/>
                <w:szCs w:val="20"/>
              </w:rPr>
              <w:t>1</w:t>
            </w:r>
          </w:p>
        </w:tc>
        <w:tc>
          <w:tcPr>
            <w:tcW w:type="dxa" w:w="828"/>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cs="Arial" w:hAnsi="Calibri"/>
                <w:color w:val="000000"/>
                <w:sz w:val="20"/>
                <w:szCs w:val="20"/>
              </w:rPr>
              <w:t>20</w:t>
            </w:r>
          </w:p>
        </w:tc>
        <w:tc>
          <w:tcPr>
            <w:tcW w:type="dxa" w:w="907"/>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cs="Arial" w:hAnsi="Calibri"/>
                <w:color w:val="000000"/>
                <w:sz w:val="20"/>
                <w:szCs w:val="20"/>
              </w:rPr>
              <w:t>i12625073</w:t>
            </w:r>
          </w:p>
        </w:tc>
        <w:tc>
          <w:tcPr>
            <w:tcW w:type="dxa" w:w="1004"/>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hAnsi="Calibri"/>
                <w:color w:val="000000"/>
                <w:sz w:val="20"/>
                <w:szCs w:val="20"/>
              </w:rPr>
              <w:t>c1997</w:t>
            </w:r>
          </w:p>
        </w:tc>
        <w:tc>
          <w:tcPr>
            <w:tcW w:type="dxa" w:w="3883"/>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pPr>
            <w:r>
              <w:rPr>
                <w:rFonts w:ascii="Calibri" w:cs="Arial" w:hAnsi="Calibri"/>
                <w:color w:val="000000"/>
                <w:sz w:val="20"/>
                <w:szCs w:val="20"/>
              </w:rPr>
              <w:t>The Cold War and the Middle East / edited by Yezid Sayigh and Avi Shlaim</w:t>
            </w:r>
          </w:p>
        </w:tc>
      </w:tr>
      <w:tr>
        <w:trPr>
          <w:trHeight w:hRule="atLeast" w:val="540"/>
          <w:cantSplit w:val="false"/>
        </w:trPr>
        <w:tc>
          <w:tcPr>
            <w:tcW w:type="dxa" w:w="806"/>
            <w:tcBorders>
              <w:top w:color="FFFFFF" w:space="0" w:sz="8" w:val="single"/>
              <w:left w:color="FFFFFF" w:space="0" w:sz="8" w:val="single"/>
              <w:bottom w:color="FFFFFF" w:space="0" w:sz="8" w:val="single"/>
              <w:right w:color="FFFFFF" w:space="0" w:sz="8" w:val="single"/>
            </w:tcBorders>
            <w:shd w:fill="4D89BF" w:val="clear"/>
            <w:tcMar>
              <w:left w:type="dxa" w:w="15"/>
            </w:tcMar>
          </w:tcPr>
          <w:p>
            <w:pPr>
              <w:pStyle w:val="style0"/>
              <w:spacing w:line="276" w:lineRule="auto"/>
              <w:jc w:val="center"/>
            </w:pPr>
            <w:r>
              <w:rPr>
                <w:rFonts w:ascii="Calibri" w:cs="Arial" w:hAnsi="Calibri"/>
                <w:color w:val="FFFFFF"/>
                <w:sz w:val="20"/>
                <w:szCs w:val="20"/>
              </w:rPr>
              <w:t>5</w:t>
            </w:r>
          </w:p>
        </w:tc>
        <w:tc>
          <w:tcPr>
            <w:tcW w:type="dxa" w:w="731"/>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1</w:t>
            </w:r>
          </w:p>
        </w:tc>
        <w:tc>
          <w:tcPr>
            <w:tcW w:type="dxa" w:w="828"/>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20</w:t>
            </w:r>
          </w:p>
        </w:tc>
        <w:tc>
          <w:tcPr>
            <w:tcW w:type="dxa" w:w="907"/>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i13729974</w:t>
            </w:r>
          </w:p>
        </w:tc>
        <w:tc>
          <w:tcPr>
            <w:tcW w:type="dxa" w:w="1004"/>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hAnsi="Calibri"/>
                <w:color w:val="000000"/>
                <w:sz w:val="20"/>
                <w:szCs w:val="20"/>
              </w:rPr>
              <w:t>2000</w:t>
            </w:r>
          </w:p>
        </w:tc>
        <w:tc>
          <w:tcPr>
            <w:tcW w:type="dxa" w:w="3883"/>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pPr>
            <w:r>
              <w:rPr>
                <w:rFonts w:ascii="Calibri" w:cs="Arial" w:hAnsi="Calibri"/>
                <w:color w:val="000000"/>
                <w:sz w:val="20"/>
                <w:szCs w:val="20"/>
              </w:rPr>
              <w:t>War, institutions, and social change in the Middle East / edited by Steven Heydemann</w:t>
            </w:r>
          </w:p>
        </w:tc>
      </w:tr>
      <w:tr>
        <w:trPr>
          <w:trHeight w:hRule="atLeast" w:val="540"/>
          <w:cantSplit w:val="false"/>
        </w:trPr>
        <w:tc>
          <w:tcPr>
            <w:tcW w:type="dxa" w:w="806"/>
            <w:tcBorders>
              <w:top w:color="FFFFFF" w:space="0" w:sz="8" w:val="single"/>
              <w:left w:color="FFFFFF" w:space="0" w:sz="8" w:val="single"/>
              <w:bottom w:color="FFFFFF" w:space="0" w:sz="8" w:val="single"/>
              <w:right w:color="FFFFFF" w:space="0" w:sz="8" w:val="single"/>
            </w:tcBorders>
            <w:shd w:fill="4D89BF" w:val="clear"/>
            <w:tcMar>
              <w:left w:type="dxa" w:w="15"/>
            </w:tcMar>
          </w:tcPr>
          <w:p>
            <w:pPr>
              <w:pStyle w:val="style0"/>
              <w:spacing w:line="276" w:lineRule="auto"/>
              <w:jc w:val="center"/>
            </w:pPr>
            <w:r>
              <w:rPr>
                <w:rFonts w:ascii="Calibri" w:cs="Arial" w:hAnsi="Calibri"/>
                <w:color w:val="FFFFFF"/>
                <w:sz w:val="20"/>
                <w:szCs w:val="20"/>
              </w:rPr>
              <w:t>6</w:t>
            </w:r>
          </w:p>
        </w:tc>
        <w:tc>
          <w:tcPr>
            <w:tcW w:type="dxa" w:w="731"/>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cs="Arial" w:hAnsi="Calibri"/>
                <w:color w:val="000000"/>
                <w:sz w:val="20"/>
                <w:szCs w:val="20"/>
              </w:rPr>
              <w:t>1</w:t>
            </w:r>
          </w:p>
        </w:tc>
        <w:tc>
          <w:tcPr>
            <w:tcW w:type="dxa" w:w="828"/>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cs="Arial" w:hAnsi="Calibri"/>
                <w:color w:val="000000"/>
                <w:sz w:val="20"/>
                <w:szCs w:val="20"/>
              </w:rPr>
              <w:t>17</w:t>
            </w:r>
          </w:p>
        </w:tc>
        <w:tc>
          <w:tcPr>
            <w:tcW w:type="dxa" w:w="907"/>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cs="Arial" w:hAnsi="Calibri"/>
                <w:color w:val="000000"/>
                <w:sz w:val="20"/>
                <w:szCs w:val="20"/>
              </w:rPr>
              <w:t>i13863058</w:t>
            </w:r>
          </w:p>
        </w:tc>
        <w:tc>
          <w:tcPr>
            <w:tcW w:type="dxa" w:w="1004"/>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hAnsi="Calibri"/>
                <w:color w:val="000000"/>
                <w:sz w:val="20"/>
                <w:szCs w:val="20"/>
              </w:rPr>
              <w:t>c2001, repr. 2002</w:t>
            </w:r>
          </w:p>
        </w:tc>
        <w:tc>
          <w:tcPr>
            <w:tcW w:type="dxa" w:w="3883"/>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pPr>
            <w:r>
              <w:rPr>
                <w:rFonts w:ascii="Calibri" w:cs="Arial" w:hAnsi="Calibri"/>
                <w:color w:val="000000"/>
                <w:sz w:val="20"/>
                <w:szCs w:val="20"/>
              </w:rPr>
              <w:t>Conflicts in the Middle East since 1945 / Beverley Milton-Edwards and Peter Hinchcliffe</w:t>
            </w:r>
          </w:p>
        </w:tc>
      </w:tr>
      <w:tr>
        <w:trPr>
          <w:trHeight w:hRule="atLeast" w:val="540"/>
          <w:cantSplit w:val="false"/>
        </w:trPr>
        <w:tc>
          <w:tcPr>
            <w:tcW w:type="dxa" w:w="806"/>
            <w:tcBorders>
              <w:top w:color="FFFFFF" w:space="0" w:sz="8" w:val="single"/>
              <w:left w:color="FFFFFF" w:space="0" w:sz="8" w:val="single"/>
              <w:bottom w:color="FFFFFF" w:space="0" w:sz="8" w:val="single"/>
              <w:right w:color="FFFFFF" w:space="0" w:sz="8" w:val="single"/>
            </w:tcBorders>
            <w:shd w:fill="4D89BF" w:val="clear"/>
            <w:tcMar>
              <w:left w:type="dxa" w:w="15"/>
            </w:tcMar>
          </w:tcPr>
          <w:p>
            <w:pPr>
              <w:pStyle w:val="style0"/>
              <w:spacing w:line="276" w:lineRule="auto"/>
              <w:jc w:val="center"/>
            </w:pPr>
            <w:r>
              <w:rPr>
                <w:rFonts w:ascii="Calibri" w:cs="Arial" w:hAnsi="Calibri"/>
                <w:color w:val="FFFFFF"/>
                <w:sz w:val="20"/>
                <w:szCs w:val="20"/>
              </w:rPr>
              <w:t>7</w:t>
            </w:r>
          </w:p>
        </w:tc>
        <w:tc>
          <w:tcPr>
            <w:tcW w:type="dxa" w:w="731"/>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1</w:t>
            </w:r>
          </w:p>
        </w:tc>
        <w:tc>
          <w:tcPr>
            <w:tcW w:type="dxa" w:w="828"/>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16</w:t>
            </w:r>
          </w:p>
        </w:tc>
        <w:tc>
          <w:tcPr>
            <w:tcW w:type="dxa" w:w="907"/>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i13911144</w:t>
            </w:r>
          </w:p>
        </w:tc>
        <w:tc>
          <w:tcPr>
            <w:tcW w:type="dxa" w:w="1004"/>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hAnsi="Calibri"/>
                <w:color w:val="000000"/>
                <w:sz w:val="20"/>
                <w:szCs w:val="20"/>
              </w:rPr>
              <w:t>2002</w:t>
            </w:r>
          </w:p>
        </w:tc>
        <w:tc>
          <w:tcPr>
            <w:tcW w:type="dxa" w:w="3883"/>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pPr>
            <w:r>
              <w:rPr>
                <w:rFonts w:ascii="Calibri" w:cs="Arial" w:hAnsi="Calibri"/>
                <w:color w:val="000000"/>
                <w:sz w:val="20"/>
                <w:szCs w:val="20"/>
              </w:rPr>
              <w:t>A revolutionary year : the Middle East in 1958 / edited by Wm. Roger Louis and Roger Owen</w:t>
            </w:r>
          </w:p>
        </w:tc>
      </w:tr>
      <w:tr>
        <w:trPr>
          <w:trHeight w:hRule="atLeast" w:val="540"/>
          <w:cantSplit w:val="false"/>
        </w:trPr>
        <w:tc>
          <w:tcPr>
            <w:tcW w:type="dxa" w:w="806"/>
            <w:tcBorders>
              <w:top w:color="FFFFFF" w:space="0" w:sz="8" w:val="single"/>
              <w:left w:color="FFFFFF" w:space="0" w:sz="8" w:val="single"/>
              <w:bottom w:color="FFFFFF" w:space="0" w:sz="8" w:val="single"/>
              <w:right w:color="FFFFFF" w:space="0" w:sz="8" w:val="single"/>
            </w:tcBorders>
            <w:shd w:fill="4D89BF" w:val="clear"/>
            <w:tcMar>
              <w:left w:type="dxa" w:w="15"/>
            </w:tcMar>
          </w:tcPr>
          <w:p>
            <w:pPr>
              <w:pStyle w:val="style0"/>
              <w:spacing w:line="276" w:lineRule="auto"/>
              <w:jc w:val="center"/>
            </w:pPr>
            <w:r>
              <w:rPr>
                <w:rFonts w:ascii="Calibri" w:cs="Arial" w:hAnsi="Calibri"/>
                <w:color w:val="FFFFFF"/>
                <w:sz w:val="20"/>
                <w:szCs w:val="20"/>
              </w:rPr>
              <w:t>8</w:t>
            </w:r>
          </w:p>
        </w:tc>
        <w:tc>
          <w:tcPr>
            <w:tcW w:type="dxa" w:w="731"/>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cs="Arial" w:hAnsi="Calibri"/>
                <w:color w:val="000000"/>
                <w:sz w:val="20"/>
                <w:szCs w:val="20"/>
              </w:rPr>
              <w:t>1</w:t>
            </w:r>
          </w:p>
        </w:tc>
        <w:tc>
          <w:tcPr>
            <w:tcW w:type="dxa" w:w="828"/>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cs="Arial" w:hAnsi="Calibri"/>
                <w:color w:val="000000"/>
                <w:sz w:val="20"/>
                <w:szCs w:val="20"/>
              </w:rPr>
              <w:t>15</w:t>
            </w:r>
          </w:p>
        </w:tc>
        <w:tc>
          <w:tcPr>
            <w:tcW w:type="dxa" w:w="907"/>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cs="Arial" w:hAnsi="Calibri"/>
                <w:color w:val="000000"/>
                <w:sz w:val="20"/>
                <w:szCs w:val="20"/>
              </w:rPr>
              <w:t>i11572899</w:t>
            </w:r>
          </w:p>
        </w:tc>
        <w:tc>
          <w:tcPr>
            <w:tcW w:type="dxa" w:w="1004"/>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hAnsi="Calibri"/>
                <w:color w:val="000000"/>
                <w:sz w:val="20"/>
                <w:szCs w:val="20"/>
              </w:rPr>
              <w:t>c1993</w:t>
            </w:r>
          </w:p>
        </w:tc>
        <w:tc>
          <w:tcPr>
            <w:tcW w:type="dxa" w:w="3883"/>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pPr>
            <w:r>
              <w:rPr>
                <w:rFonts w:ascii="Calibri" w:cs="Arial" w:hAnsi="Calibri"/>
                <w:color w:val="000000"/>
                <w:sz w:val="20"/>
                <w:szCs w:val="20"/>
              </w:rPr>
              <w:t>The politics of miscalculation in the Middle East / Richard B. Parker</w:t>
            </w:r>
          </w:p>
        </w:tc>
      </w:tr>
      <w:tr>
        <w:trPr>
          <w:trHeight w:hRule="atLeast" w:val="540"/>
          <w:cantSplit w:val="false"/>
        </w:trPr>
        <w:tc>
          <w:tcPr>
            <w:tcW w:type="dxa" w:w="806"/>
            <w:tcBorders>
              <w:top w:color="FFFFFF" w:space="0" w:sz="8" w:val="single"/>
              <w:left w:color="FFFFFF" w:space="0" w:sz="8" w:val="single"/>
              <w:bottom w:color="FFFFFF" w:space="0" w:sz="8" w:val="single"/>
              <w:right w:color="FFFFFF" w:space="0" w:sz="8" w:val="single"/>
            </w:tcBorders>
            <w:shd w:fill="4D89BF" w:val="clear"/>
            <w:tcMar>
              <w:left w:type="dxa" w:w="15"/>
            </w:tcMar>
          </w:tcPr>
          <w:p>
            <w:pPr>
              <w:pStyle w:val="style0"/>
              <w:spacing w:line="276" w:lineRule="auto"/>
              <w:jc w:val="center"/>
            </w:pPr>
            <w:r>
              <w:rPr>
                <w:rFonts w:ascii="Calibri" w:cs="Arial" w:hAnsi="Calibri"/>
                <w:color w:val="FFFFFF"/>
                <w:sz w:val="20"/>
                <w:szCs w:val="20"/>
              </w:rPr>
              <w:t>9</w:t>
            </w:r>
          </w:p>
        </w:tc>
        <w:tc>
          <w:tcPr>
            <w:tcW w:type="dxa" w:w="731"/>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1</w:t>
            </w:r>
          </w:p>
        </w:tc>
        <w:tc>
          <w:tcPr>
            <w:tcW w:type="dxa" w:w="828"/>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14</w:t>
            </w:r>
          </w:p>
        </w:tc>
        <w:tc>
          <w:tcPr>
            <w:tcW w:type="dxa" w:w="907"/>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i1348199x</w:t>
            </w:r>
          </w:p>
        </w:tc>
        <w:tc>
          <w:tcPr>
            <w:tcW w:type="dxa" w:w="1004"/>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hAnsi="Calibri"/>
                <w:color w:val="000000"/>
                <w:sz w:val="20"/>
                <w:szCs w:val="20"/>
              </w:rPr>
              <w:t>c1998</w:t>
            </w:r>
          </w:p>
        </w:tc>
        <w:tc>
          <w:tcPr>
            <w:tcW w:type="dxa" w:w="3883"/>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pPr>
            <w:r>
              <w:rPr>
                <w:rFonts w:ascii="Calibri" w:cs="Arial" w:hAnsi="Calibri"/>
                <w:color w:val="000000"/>
                <w:sz w:val="20"/>
                <w:szCs w:val="20"/>
              </w:rPr>
              <w:t>Conflict and war in the Middle East : from interstate war to new security / Bassam Tibi</w:t>
            </w:r>
          </w:p>
        </w:tc>
      </w:tr>
      <w:tr>
        <w:trPr>
          <w:trHeight w:hRule="atLeast" w:val="674"/>
          <w:cantSplit w:val="false"/>
        </w:trPr>
        <w:tc>
          <w:tcPr>
            <w:tcW w:type="dxa" w:w="806"/>
            <w:tcBorders>
              <w:top w:color="FFFFFF" w:space="0" w:sz="8" w:val="single"/>
              <w:left w:color="FFFFFF" w:space="0" w:sz="8" w:val="single"/>
              <w:bottom w:color="FFFFFF" w:space="0" w:sz="8" w:val="single"/>
              <w:right w:color="FFFFFF" w:space="0" w:sz="8" w:val="single"/>
            </w:tcBorders>
            <w:shd w:fill="4D89BF" w:val="clear"/>
            <w:tcMar>
              <w:left w:type="dxa" w:w="15"/>
            </w:tcMar>
          </w:tcPr>
          <w:p>
            <w:pPr>
              <w:pStyle w:val="style0"/>
              <w:spacing w:line="276" w:lineRule="auto"/>
              <w:jc w:val="center"/>
            </w:pPr>
            <w:r>
              <w:rPr>
                <w:rFonts w:ascii="Calibri" w:cs="Arial" w:hAnsi="Calibri"/>
                <w:color w:val="FFFFFF"/>
                <w:sz w:val="20"/>
                <w:szCs w:val="20"/>
              </w:rPr>
              <w:t>10</w:t>
            </w:r>
          </w:p>
        </w:tc>
        <w:tc>
          <w:tcPr>
            <w:tcW w:type="dxa" w:w="731"/>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cs="Arial" w:hAnsi="Calibri"/>
                <w:color w:val="000000"/>
                <w:sz w:val="20"/>
                <w:szCs w:val="20"/>
              </w:rPr>
              <w:t>1</w:t>
            </w:r>
          </w:p>
        </w:tc>
        <w:tc>
          <w:tcPr>
            <w:tcW w:type="dxa" w:w="828"/>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cs="Arial" w:hAnsi="Calibri"/>
                <w:color w:val="000000"/>
                <w:sz w:val="20"/>
                <w:szCs w:val="20"/>
              </w:rPr>
              <w:t>13</w:t>
            </w:r>
          </w:p>
        </w:tc>
        <w:tc>
          <w:tcPr>
            <w:tcW w:type="dxa" w:w="907"/>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cs="Arial" w:hAnsi="Calibri"/>
                <w:color w:val="000000"/>
                <w:sz w:val="20"/>
                <w:szCs w:val="20"/>
              </w:rPr>
              <w:t>i10745956</w:t>
            </w:r>
          </w:p>
        </w:tc>
        <w:tc>
          <w:tcPr>
            <w:tcW w:type="dxa" w:w="1004"/>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jc w:val="center"/>
            </w:pPr>
            <w:r>
              <w:rPr>
                <w:rFonts w:ascii="Calibri" w:hAnsi="Calibri"/>
                <w:color w:val="000000"/>
                <w:sz w:val="20"/>
                <w:szCs w:val="20"/>
              </w:rPr>
              <w:t>1988</w:t>
            </w:r>
          </w:p>
        </w:tc>
        <w:tc>
          <w:tcPr>
            <w:tcW w:type="dxa" w:w="3883"/>
            <w:tcBorders>
              <w:top w:color="FFFFFF" w:space="0" w:sz="8" w:val="single"/>
              <w:left w:color="FFFFFF" w:space="0" w:sz="8" w:val="single"/>
              <w:bottom w:color="FFFFFF" w:space="0" w:sz="8" w:val="single"/>
              <w:right w:color="FFFFFF" w:space="0" w:sz="8" w:val="single"/>
            </w:tcBorders>
            <w:shd w:fill="E9EDF4" w:val="clear"/>
            <w:tcMar>
              <w:left w:type="dxa" w:w="15"/>
            </w:tcMar>
          </w:tcPr>
          <w:p>
            <w:pPr>
              <w:pStyle w:val="style0"/>
              <w:spacing w:line="276" w:lineRule="auto"/>
            </w:pPr>
            <w:r>
              <w:rPr>
                <w:rFonts w:ascii="Calibri" w:cs="Arial" w:hAnsi="Calibri"/>
                <w:color w:val="000000"/>
                <w:sz w:val="20"/>
                <w:szCs w:val="20"/>
              </w:rPr>
              <w:t xml:space="preserve">Ideology and power in the Middle East : studies in honor of George Lenczowski / edited by Peter J. Chelkowski </w:t>
            </w:r>
          </w:p>
        </w:tc>
      </w:tr>
      <w:tr>
        <w:trPr>
          <w:trHeight w:hRule="atLeast" w:val="674"/>
          <w:cantSplit w:val="false"/>
        </w:trPr>
        <w:tc>
          <w:tcPr>
            <w:tcW w:type="dxa" w:w="806"/>
            <w:tcBorders>
              <w:top w:color="FFFFFF" w:space="0" w:sz="8" w:val="single"/>
              <w:left w:color="FFFFFF" w:space="0" w:sz="8" w:val="single"/>
              <w:bottom w:color="FFFFFF" w:space="0" w:sz="8" w:val="single"/>
              <w:right w:color="FFFFFF" w:space="0" w:sz="8" w:val="single"/>
            </w:tcBorders>
            <w:shd w:fill="4D89BF" w:val="clear"/>
            <w:tcMar>
              <w:left w:type="dxa" w:w="15"/>
            </w:tcMar>
          </w:tcPr>
          <w:p>
            <w:pPr>
              <w:pStyle w:val="style0"/>
              <w:spacing w:line="276" w:lineRule="auto"/>
              <w:jc w:val="center"/>
            </w:pPr>
            <w:r>
              <w:rPr>
                <w:rFonts w:ascii="Calibri" w:cs="Arial" w:hAnsi="Calibri"/>
                <w:color w:val="FFFFFF"/>
                <w:sz w:val="20"/>
                <w:szCs w:val="20"/>
              </w:rPr>
              <w:t>11</w:t>
            </w:r>
          </w:p>
        </w:tc>
        <w:tc>
          <w:tcPr>
            <w:tcW w:type="dxa" w:w="731"/>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1</w:t>
            </w:r>
          </w:p>
        </w:tc>
        <w:tc>
          <w:tcPr>
            <w:tcW w:type="dxa" w:w="828"/>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13</w:t>
            </w:r>
          </w:p>
        </w:tc>
        <w:tc>
          <w:tcPr>
            <w:tcW w:type="dxa" w:w="907"/>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i14590918</w:t>
            </w:r>
          </w:p>
        </w:tc>
        <w:tc>
          <w:tcPr>
            <w:tcW w:type="dxa" w:w="1004"/>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hAnsi="Calibri"/>
                <w:color w:val="000000"/>
                <w:sz w:val="20"/>
                <w:szCs w:val="20"/>
              </w:rPr>
              <w:t>c2006</w:t>
            </w:r>
          </w:p>
        </w:tc>
        <w:tc>
          <w:tcPr>
            <w:tcW w:type="dxa" w:w="3883"/>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pPr>
            <w:r>
              <w:rPr>
                <w:rFonts w:ascii="Calibri" w:cs="Arial" w:hAnsi="Calibri"/>
                <w:color w:val="000000"/>
                <w:sz w:val="20"/>
                <w:szCs w:val="20"/>
              </w:rPr>
              <w:t>Middle East historiographies : narrating the twentieth century / edited by Israel Gershoni, Amy Singer, Y. Hakan Erdem</w:t>
            </w:r>
          </w:p>
        </w:tc>
      </w:tr>
      <w:tr>
        <w:trPr>
          <w:trHeight w:hRule="atLeast" w:val="327"/>
          <w:cantSplit w:val="false"/>
        </w:trPr>
        <w:tc>
          <w:tcPr>
            <w:tcW w:type="dxa" w:w="806"/>
            <w:tcBorders>
              <w:top w:color="FFFFFF" w:space="0" w:sz="8" w:val="single"/>
              <w:left w:color="FFFFFF" w:space="0" w:sz="8" w:val="single"/>
              <w:bottom w:color="FFFFFF" w:space="0" w:sz="8" w:val="single"/>
              <w:right w:color="FFFFFF" w:space="0" w:sz="8" w:val="single"/>
            </w:tcBorders>
            <w:shd w:fill="4F81BD" w:val="clear"/>
            <w:tcMar>
              <w:left w:type="dxa" w:w="15"/>
            </w:tcMar>
          </w:tcPr>
          <w:p>
            <w:pPr>
              <w:pStyle w:val="style0"/>
              <w:spacing w:line="276" w:lineRule="auto"/>
              <w:jc w:val="center"/>
            </w:pPr>
            <w:r>
              <w:rPr>
                <w:rFonts w:ascii="Calibri" w:cs="Arial" w:hAnsi="Calibri"/>
                <w:color w:val="FFFFFF"/>
                <w:sz w:val="20"/>
                <w:szCs w:val="20"/>
              </w:rPr>
              <w:t>12</w:t>
            </w:r>
          </w:p>
        </w:tc>
        <w:tc>
          <w:tcPr>
            <w:tcW w:type="dxa" w:w="731"/>
            <w:tcBorders>
              <w:top w:color="FFFFFF" w:space="0" w:sz="8" w:val="single"/>
              <w:left w:color="FFFFFF" w:space="0" w:sz="8" w:val="single"/>
              <w:bottom w:color="FFFFFF" w:space="0" w:sz="8" w:val="single"/>
              <w:right w:color="FFFFFF" w:space="0" w:sz="8" w:val="single"/>
            </w:tcBorders>
            <w:shd w:fill="DCE6F2" w:val="clear"/>
            <w:tcMar>
              <w:left w:type="dxa" w:w="15"/>
            </w:tcMar>
          </w:tcPr>
          <w:p>
            <w:pPr>
              <w:pStyle w:val="style0"/>
              <w:spacing w:line="276" w:lineRule="auto"/>
              <w:jc w:val="center"/>
            </w:pPr>
            <w:r>
              <w:rPr>
                <w:rFonts w:ascii="Calibri" w:cs="Arial" w:hAnsi="Calibri"/>
                <w:color w:val="000000"/>
                <w:sz w:val="20"/>
                <w:szCs w:val="20"/>
              </w:rPr>
              <w:t>1</w:t>
            </w:r>
          </w:p>
        </w:tc>
        <w:tc>
          <w:tcPr>
            <w:tcW w:type="dxa" w:w="828"/>
            <w:tcBorders>
              <w:top w:color="FFFFFF" w:space="0" w:sz="8" w:val="single"/>
              <w:left w:color="FFFFFF" w:space="0" w:sz="8" w:val="single"/>
              <w:bottom w:color="FFFFFF" w:space="0" w:sz="8" w:val="single"/>
              <w:right w:color="FFFFFF" w:space="0" w:sz="8" w:val="single"/>
            </w:tcBorders>
            <w:shd w:fill="DCE6F2" w:val="clear"/>
            <w:tcMar>
              <w:left w:type="dxa" w:w="15"/>
            </w:tcMar>
          </w:tcPr>
          <w:p>
            <w:pPr>
              <w:pStyle w:val="style0"/>
              <w:spacing w:line="276" w:lineRule="auto"/>
              <w:jc w:val="center"/>
            </w:pPr>
            <w:r>
              <w:rPr>
                <w:rFonts w:ascii="Calibri" w:cs="Arial" w:hAnsi="Calibri"/>
                <w:color w:val="000000"/>
                <w:sz w:val="20"/>
                <w:szCs w:val="20"/>
              </w:rPr>
              <w:t>12</w:t>
            </w:r>
          </w:p>
        </w:tc>
        <w:tc>
          <w:tcPr>
            <w:tcW w:type="dxa" w:w="907"/>
            <w:tcBorders>
              <w:top w:color="FFFFFF" w:space="0" w:sz="8" w:val="single"/>
              <w:left w:color="FFFFFF" w:space="0" w:sz="8" w:val="single"/>
              <w:bottom w:color="FFFFFF" w:space="0" w:sz="8" w:val="single"/>
              <w:right w:color="FFFFFF" w:space="0" w:sz="8" w:val="single"/>
            </w:tcBorders>
            <w:shd w:fill="DCE6F2" w:val="clear"/>
            <w:tcMar>
              <w:left w:type="dxa" w:w="15"/>
            </w:tcMar>
          </w:tcPr>
          <w:p>
            <w:pPr>
              <w:pStyle w:val="style0"/>
              <w:spacing w:line="276" w:lineRule="auto"/>
              <w:jc w:val="center"/>
            </w:pPr>
            <w:r>
              <w:rPr>
                <w:rFonts w:ascii="Calibri" w:cs="Arial" w:hAnsi="Calibri"/>
                <w:color w:val="000000"/>
                <w:sz w:val="20"/>
                <w:szCs w:val="20"/>
              </w:rPr>
              <w:t>i14618400</w:t>
            </w:r>
          </w:p>
        </w:tc>
        <w:tc>
          <w:tcPr>
            <w:tcW w:type="dxa" w:w="1004"/>
            <w:tcBorders>
              <w:top w:color="FFFFFF" w:space="0" w:sz="8" w:val="single"/>
              <w:left w:color="FFFFFF" w:space="0" w:sz="8" w:val="single"/>
              <w:bottom w:color="FFFFFF" w:space="0" w:sz="8" w:val="single"/>
              <w:right w:color="FFFFFF" w:space="0" w:sz="8" w:val="single"/>
            </w:tcBorders>
            <w:shd w:fill="DCE6F2" w:val="clear"/>
            <w:tcMar>
              <w:left w:type="dxa" w:w="15"/>
            </w:tcMar>
          </w:tcPr>
          <w:p>
            <w:pPr>
              <w:pStyle w:val="style0"/>
              <w:spacing w:line="276" w:lineRule="auto"/>
              <w:jc w:val="center"/>
            </w:pPr>
            <w:r>
              <w:rPr>
                <w:rFonts w:ascii="Calibri" w:hAnsi="Calibri"/>
                <w:color w:val="000000"/>
                <w:sz w:val="20"/>
                <w:szCs w:val="20"/>
              </w:rPr>
              <w:t>c2006</w:t>
            </w:r>
          </w:p>
        </w:tc>
        <w:tc>
          <w:tcPr>
            <w:tcW w:type="dxa" w:w="3883"/>
            <w:tcBorders>
              <w:top w:color="FFFFFF" w:space="0" w:sz="8" w:val="single"/>
              <w:left w:color="FFFFFF" w:space="0" w:sz="8" w:val="single"/>
              <w:bottom w:color="FFFFFF" w:space="0" w:sz="8" w:val="single"/>
              <w:right w:color="FFFFFF" w:space="0" w:sz="8" w:val="single"/>
            </w:tcBorders>
            <w:shd w:fill="DCE6F2" w:val="clear"/>
            <w:tcMar>
              <w:left w:type="dxa" w:w="15"/>
            </w:tcMar>
          </w:tcPr>
          <w:p>
            <w:pPr>
              <w:pStyle w:val="style0"/>
              <w:spacing w:line="276" w:lineRule="auto"/>
            </w:pPr>
            <w:r>
              <w:rPr>
                <w:rFonts w:ascii="Calibri" w:cs="Arial" w:hAnsi="Calibri"/>
                <w:color w:val="000000"/>
                <w:sz w:val="20"/>
                <w:szCs w:val="20"/>
              </w:rPr>
              <w:t>Palestine : peace not apartheid / Jimmy Carter</w:t>
            </w:r>
          </w:p>
        </w:tc>
      </w:tr>
      <w:tr>
        <w:trPr>
          <w:trHeight w:hRule="atLeast" w:val="540"/>
          <w:cantSplit w:val="false"/>
        </w:trPr>
        <w:tc>
          <w:tcPr>
            <w:tcW w:type="dxa" w:w="806"/>
            <w:tcBorders>
              <w:top w:color="FFFFFF" w:space="0" w:sz="8" w:val="single"/>
              <w:left w:color="FFFFFF" w:space="0" w:sz="8" w:val="single"/>
              <w:bottom w:color="FFFFFF" w:space="0" w:sz="8" w:val="single"/>
              <w:right w:color="FFFFFF" w:space="0" w:sz="8" w:val="single"/>
            </w:tcBorders>
            <w:shd w:fill="4D89BF" w:val="clear"/>
            <w:tcMar>
              <w:left w:type="dxa" w:w="15"/>
            </w:tcMar>
          </w:tcPr>
          <w:p>
            <w:pPr>
              <w:pStyle w:val="style0"/>
              <w:spacing w:line="276" w:lineRule="auto"/>
              <w:jc w:val="center"/>
            </w:pPr>
            <w:r>
              <w:rPr>
                <w:rFonts w:ascii="Calibri" w:cs="Arial" w:hAnsi="Calibri"/>
                <w:color w:val="FFFFFF"/>
                <w:sz w:val="20"/>
                <w:szCs w:val="20"/>
              </w:rPr>
              <w:t>13 </w:t>
            </w:r>
          </w:p>
        </w:tc>
        <w:tc>
          <w:tcPr>
            <w:tcW w:type="dxa" w:w="731"/>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1</w:t>
            </w:r>
          </w:p>
        </w:tc>
        <w:tc>
          <w:tcPr>
            <w:tcW w:type="dxa" w:w="828"/>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12</w:t>
            </w:r>
          </w:p>
        </w:tc>
        <w:tc>
          <w:tcPr>
            <w:tcW w:type="dxa" w:w="907"/>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jc w:val="center"/>
            </w:pPr>
            <w:r>
              <w:rPr>
                <w:rFonts w:ascii="Calibri" w:cs="Arial" w:hAnsi="Calibri"/>
                <w:color w:val="000000"/>
                <w:sz w:val="20"/>
                <w:szCs w:val="20"/>
              </w:rPr>
              <w:t>i14651816</w:t>
            </w:r>
          </w:p>
        </w:tc>
        <w:tc>
          <w:tcPr>
            <w:tcW w:type="dxa" w:w="1004"/>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pPr>
            <w:r>
              <w:rPr>
                <w:rFonts w:ascii="Calibri" w:cs="Arial" w:hAnsi="Calibri"/>
                <w:sz w:val="20"/>
                <w:szCs w:val="20"/>
              </w:rPr>
            </w:r>
          </w:p>
        </w:tc>
        <w:tc>
          <w:tcPr>
            <w:tcW w:type="dxa" w:w="3883"/>
            <w:tcBorders>
              <w:top w:color="FFFFFF" w:space="0" w:sz="8" w:val="single"/>
              <w:left w:color="FFFFFF" w:space="0" w:sz="8" w:val="single"/>
              <w:bottom w:color="FFFFFF" w:space="0" w:sz="8" w:val="single"/>
              <w:right w:color="FFFFFF" w:space="0" w:sz="8" w:val="single"/>
            </w:tcBorders>
            <w:shd w:fill="D0D8E8" w:val="clear"/>
            <w:tcMar>
              <w:left w:type="dxa" w:w="15"/>
            </w:tcMar>
          </w:tcPr>
          <w:p>
            <w:pPr>
              <w:pStyle w:val="style0"/>
              <w:spacing w:line="276" w:lineRule="auto"/>
            </w:pPr>
            <w:r>
              <w:rPr>
                <w:rFonts w:ascii="Calibri" w:cs="Arial" w:hAnsi="Calibri"/>
                <w:color w:val="000000"/>
                <w:sz w:val="20"/>
                <w:szCs w:val="20"/>
              </w:rPr>
              <w:t>The Cold War in the Middle East : regional conflict and the superpowers, 1967-73 / edited by Nigel J. Ashton</w:t>
            </w:r>
          </w:p>
        </w:tc>
      </w:tr>
    </w:tbl>
    <w:p>
      <w:pPr>
        <w:pStyle w:val="style40"/>
      </w:pPr>
      <w:r>
        <w:rPr>
          <w:rFonts w:ascii="" w:cs="" w:hAnsi=""/>
        </w:rPr>
        <w:t>Titles that circulate the most in each class and DDC subclass can be retrieved.</w:t>
      </w:r>
    </w:p>
    <w:p>
      <w:pPr>
        <w:pStyle w:val="style40"/>
      </w:pPr>
      <w:r>
        <w:rPr>
          <w:rFonts w:ascii="" w:cs="" w:hAnsi=""/>
        </w:rPr>
        <w:t xml:space="preserve"> </w:t>
      </w:r>
      <w:r>
        <w:rPr>
          <w:rFonts w:ascii="" w:cs="" w:hAnsi=""/>
        </w:rPr>
        <w:t>Same can be applied to the Arabic ME collection</w:t>
      </w:r>
    </w:p>
    <w:p>
      <w:pPr>
        <w:pStyle w:val="style40"/>
        <w:jc w:val="center"/>
      </w:pPr>
      <w:r>
        <w:rPr/>
        <w:drawing>
          <wp:inline distB="0" distL="0" distR="0" distT="0">
            <wp:extent cx="4601845" cy="3314700"/>
            <wp:effectExtent b="0" l="0" r="0" t="0"/>
            <wp:docPr descr="C:\Users\ma265\Desktop\MM\graphe Arabic\Checkout versus Class Arabic.JPG"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ma265\Desktop\MM\graphe Arabic\Checkout versus Class Arabic.JPG" id="3" name="Picture"/>
                    <pic:cNvPicPr>
                      <a:picLocks noChangeArrowheads="1" noChangeAspect="1"/>
                    </pic:cNvPicPr>
                  </pic:nvPicPr>
                  <pic:blipFill>
                    <a:blip r:embed="rId5"/>
                    <a:srcRect/>
                    <a:stretch>
                      <a:fillRect/>
                    </a:stretch>
                  </pic:blipFill>
                  <pic:spPr bwMode="auto">
                    <a:xfrm>
                      <a:off x="0" y="0"/>
                      <a:ext cx="4601845" cy="3314700"/>
                    </a:xfrm>
                    <a:prstGeom prst="rect">
                      <a:avLst/>
                    </a:prstGeom>
                    <a:noFill/>
                    <a:ln w="9525">
                      <a:noFill/>
                      <a:miter lim="800000"/>
                      <a:headEnd/>
                      <a:tailEnd/>
                    </a:ln>
                  </pic:spPr>
                </pic:pic>
              </a:graphicData>
            </a:graphic>
          </wp:inline>
        </w:drawing>
      </w:r>
    </w:p>
    <w:p>
      <w:pPr>
        <w:pStyle w:val="style40"/>
      </w:pPr>
      <w:r>
        <w:rPr>
          <w:rFonts w:ascii="Verdana" w:hAnsi="Verdana"/>
          <w:sz w:val="18"/>
          <w:szCs w:val="18"/>
        </w:rPr>
      </w:r>
    </w:p>
    <w:p>
      <w:pPr>
        <w:pStyle w:val="style40"/>
        <w:spacing w:after="28" w:before="28"/>
        <w:contextualSpacing w:val="false"/>
        <w:jc w:val="center"/>
      </w:pPr>
      <w:r>
        <w:rPr>
          <w:rFonts w:ascii="" w:cs="" w:hAnsi=""/>
        </w:rPr>
        <w:t>Total Checkout per DDC versus checkout</w:t>
      </w:r>
    </w:p>
    <w:p>
      <w:pPr>
        <w:pStyle w:val="style40"/>
        <w:spacing w:after="28" w:before="28"/>
        <w:contextualSpacing w:val="false"/>
        <w:jc w:val="center"/>
      </w:pPr>
      <w:r>
        <w:rPr>
          <w:rFonts w:ascii="" w:cs="" w:hAnsi=""/>
        </w:rPr>
        <w:t>Arabic ME collection</w:t>
      </w:r>
    </w:p>
    <w:p>
      <w:pPr>
        <w:pStyle w:val="style40"/>
        <w:spacing w:after="28" w:before="28"/>
        <w:contextualSpacing w:val="false"/>
        <w:jc w:val="center"/>
      </w:pPr>
      <w:r>
        <w:rPr>
          <w:rFonts w:ascii="" w:cs="" w:hAnsi=""/>
        </w:rPr>
      </w:r>
    </w:p>
    <w:tbl>
      <w:tblPr>
        <w:jc w:val="center"/>
        <w:tblInd w:type="dxa" w:w="0"/>
        <w:tblBorders>
          <w:top w:color="FFFFFF" w:space="0" w:sz="8" w:val="single"/>
          <w:left w:color="FFFFFF" w:space="0" w:sz="8" w:val="single"/>
          <w:bottom w:color="FFFFFF" w:space="0" w:sz="8" w:val="single"/>
          <w:insideH w:color="FFFFFF" w:space="0" w:sz="8" w:val="single"/>
          <w:right w:color="FFFFFF" w:space="0" w:sz="8" w:val="single"/>
          <w:insideV w:color="FFFFFF" w:space="0" w:sz="8" w:val="single"/>
        </w:tblBorders>
        <w:tblCellMar>
          <w:top w:type="dxa" w:w="0"/>
          <w:left w:type="dxa" w:w="-10"/>
          <w:bottom w:type="dxa" w:w="0"/>
          <w:right w:type="dxa" w:w="0"/>
        </w:tblCellMar>
      </w:tblPr>
      <w:tblGrid>
        <w:gridCol w:w="912"/>
        <w:gridCol w:w="1248"/>
        <w:gridCol w:w="1671"/>
        <w:gridCol w:w="1639"/>
        <w:gridCol w:w="1179"/>
      </w:tblGrid>
      <w:tr>
        <w:trPr>
          <w:trHeight w:hRule="atLeast" w:val="363"/>
          <w:cantSplit w:val="false"/>
        </w:trPr>
        <w:tc>
          <w:tcPr>
            <w:tcW w:type="dxa" w:w="912"/>
            <w:tcBorders>
              <w:top w:color="FFFFFF" w:space="0" w:sz="8" w:val="single"/>
              <w:left w:color="FFFFFF" w:space="0" w:sz="8" w:val="single"/>
              <w:bottom w:color="FFFFFF" w:space="0" w:sz="8" w:val="single"/>
              <w:right w:color="FFFFFF" w:space="0" w:sz="8" w:val="single"/>
            </w:tcBorders>
            <w:shd w:fill="E9EDF4" w:val="clear"/>
            <w:tcMar>
              <w:left w:type="dxa" w:w="-10"/>
            </w:tcMar>
          </w:tcPr>
          <w:p>
            <w:pPr>
              <w:pStyle w:val="style40"/>
              <w:spacing w:after="28" w:before="28"/>
              <w:contextualSpacing w:val="false"/>
            </w:pPr>
            <w:r>
              <w:rPr>
                <w:rFonts w:ascii="Verdana" w:hAnsi="Verdana"/>
                <w:sz w:val="18"/>
                <w:szCs w:val="18"/>
              </w:rPr>
            </w:r>
          </w:p>
        </w:tc>
        <w:tc>
          <w:tcPr>
            <w:tcW w:type="dxa" w:w="1248"/>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ClassNo</w:t>
            </w:r>
          </w:p>
        </w:tc>
        <w:tc>
          <w:tcPr>
            <w:tcW w:type="dxa" w:w="1671"/>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NumberOfBooks</w:t>
            </w:r>
          </w:p>
        </w:tc>
        <w:tc>
          <w:tcPr>
            <w:tcW w:type="dxa" w:w="1639"/>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Total Checkout</w:t>
            </w:r>
          </w:p>
        </w:tc>
        <w:tc>
          <w:tcPr>
            <w:tcW w:type="dxa" w:w="1179"/>
            <w:tcBorders>
              <w:top w:color="FFFFFF" w:space="0" w:sz="8" w:val="single"/>
              <w:left w:color="FFFFFF" w:space="0" w:sz="8" w:val="single"/>
              <w:bottom w:color="FFFFFF" w:space="0" w:sz="8" w:val="single"/>
              <w:right w:color="FFFFFF" w:space="0" w:sz="8" w:val="single"/>
            </w:tcBorders>
            <w:shd w:fill="00B050" w:val="clear"/>
            <w:tcMar>
              <w:top w:type="dxa" w:w="15"/>
              <w:left w:type="dxa" w:w="5"/>
              <w:right w:type="dxa" w:w="15"/>
            </w:tcMar>
            <w:vAlign w:val="bottom"/>
          </w:tcPr>
          <w:p>
            <w:pPr>
              <w:pStyle w:val="style40"/>
              <w:spacing w:after="28" w:before="28"/>
              <w:contextualSpacing w:val="false"/>
            </w:pPr>
            <w:r>
              <w:rPr>
                <w:rFonts w:ascii="Verdana" w:hAnsi="Verdana"/>
                <w:sz w:val="18"/>
                <w:szCs w:val="18"/>
              </w:rPr>
              <w:t>h-index=12</w:t>
            </w:r>
          </w:p>
        </w:tc>
      </w:tr>
      <w:tr>
        <w:trPr>
          <w:trHeight w:hRule="atLeast" w:val="274"/>
          <w:cantSplit w:val="false"/>
        </w:trPr>
        <w:tc>
          <w:tcPr>
            <w:tcW w:type="dxa" w:w="912"/>
            <w:tcBorders>
              <w:top w:color="FFFFFF" w:space="0" w:sz="8" w:val="single"/>
              <w:left w:color="FFFFFF" w:space="0" w:sz="8" w:val="single"/>
              <w:bottom w:color="FFFFFF" w:space="0" w:sz="8" w:val="single"/>
              <w:right w:color="FFFFFF" w:space="0" w:sz="8" w:val="single"/>
            </w:tcBorders>
            <w:shd w:fill="E9EDF4" w:val="clear"/>
            <w:tcMar>
              <w:left w:type="dxa" w:w="-10"/>
            </w:tcMar>
          </w:tcPr>
          <w:p>
            <w:pPr>
              <w:pStyle w:val="style40"/>
              <w:spacing w:after="28" w:before="28"/>
              <w:contextualSpacing w:val="false"/>
            </w:pPr>
            <w:r>
              <w:rPr>
                <w:rFonts w:ascii="Verdana" w:hAnsi="Verdana"/>
                <w:sz w:val="18"/>
                <w:szCs w:val="18"/>
              </w:rPr>
              <w:t>1</w:t>
            </w:r>
          </w:p>
        </w:tc>
        <w:tc>
          <w:tcPr>
            <w:tcW w:type="dxa" w:w="1248"/>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956</w:t>
            </w:r>
          </w:p>
        </w:tc>
        <w:tc>
          <w:tcPr>
            <w:tcW w:type="dxa" w:w="1671"/>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199</w:t>
            </w:r>
          </w:p>
        </w:tc>
        <w:tc>
          <w:tcPr>
            <w:tcW w:type="dxa" w:w="1639"/>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412</w:t>
            </w:r>
          </w:p>
        </w:tc>
        <w:tc>
          <w:tcPr>
            <w:tcW w:type="dxa" w:w="1179"/>
            <w:vMerge w:val="restart"/>
            <w:tcBorders>
              <w:top w:color="FFFFFF" w:space="0" w:sz="8" w:val="single"/>
              <w:left w:color="FFFFFF" w:space="0" w:sz="8" w:val="single"/>
              <w:bottom w:val="non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r>
          </w:p>
        </w:tc>
      </w:tr>
      <w:tr>
        <w:trPr>
          <w:trHeight w:hRule="atLeast" w:val="274"/>
          <w:cantSplit w:val="false"/>
        </w:trPr>
        <w:tc>
          <w:tcPr>
            <w:tcW w:type="dxa" w:w="912"/>
            <w:tcBorders>
              <w:top w:color="FFFFFF" w:space="0" w:sz="8" w:val="single"/>
              <w:left w:color="FFFFFF" w:space="0" w:sz="8" w:val="single"/>
              <w:bottom w:color="FFFFFF" w:space="0" w:sz="8" w:val="single"/>
              <w:right w:color="FFFFFF" w:space="0" w:sz="8" w:val="single"/>
            </w:tcBorders>
            <w:shd w:fill="E9EDF4" w:val="clear"/>
            <w:tcMar>
              <w:left w:type="dxa" w:w="-10"/>
            </w:tcMar>
          </w:tcPr>
          <w:p>
            <w:pPr>
              <w:pStyle w:val="style40"/>
              <w:spacing w:after="28" w:before="28"/>
              <w:contextualSpacing w:val="false"/>
            </w:pPr>
            <w:r>
              <w:rPr>
                <w:rFonts w:ascii="Verdana" w:hAnsi="Verdana"/>
                <w:sz w:val="18"/>
                <w:szCs w:val="18"/>
              </w:rPr>
              <w:t>2</w:t>
            </w:r>
          </w:p>
        </w:tc>
        <w:tc>
          <w:tcPr>
            <w:tcW w:type="dxa" w:w="1248"/>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327</w:t>
            </w:r>
          </w:p>
        </w:tc>
        <w:tc>
          <w:tcPr>
            <w:tcW w:type="dxa" w:w="1671"/>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58</w:t>
            </w:r>
          </w:p>
        </w:tc>
        <w:tc>
          <w:tcPr>
            <w:tcW w:type="dxa" w:w="1639"/>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100</w:t>
            </w:r>
          </w:p>
        </w:tc>
        <w:tc>
          <w:tcPr>
            <w:tcW w:type="dxa" w:w="1179"/>
            <w:vMerge w:val="continue"/>
            <w:tcBorders>
              <w:top w:val="none"/>
              <w:left w:color="FFFFFF" w:space="0" w:sz="8" w:val="single"/>
              <w:bottom w:val="non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r>
          </w:p>
        </w:tc>
      </w:tr>
      <w:tr>
        <w:trPr>
          <w:trHeight w:hRule="atLeast" w:val="274"/>
          <w:cantSplit w:val="false"/>
        </w:trPr>
        <w:tc>
          <w:tcPr>
            <w:tcW w:type="dxa" w:w="912"/>
            <w:tcBorders>
              <w:top w:color="FFFFFF" w:space="0" w:sz="8" w:val="single"/>
              <w:left w:color="FFFFFF" w:space="0" w:sz="8" w:val="single"/>
              <w:bottom w:color="FFFFFF" w:space="0" w:sz="8" w:val="single"/>
              <w:right w:color="FFFFFF" w:space="0" w:sz="8" w:val="single"/>
            </w:tcBorders>
            <w:shd w:fill="E9EDF4" w:val="clear"/>
            <w:tcMar>
              <w:left w:type="dxa" w:w="-10"/>
            </w:tcMar>
          </w:tcPr>
          <w:p>
            <w:pPr>
              <w:pStyle w:val="style40"/>
              <w:spacing w:after="28" w:before="28"/>
              <w:contextualSpacing w:val="false"/>
            </w:pPr>
            <w:r>
              <w:rPr>
                <w:rFonts w:ascii="Verdana" w:hAnsi="Verdana"/>
                <w:sz w:val="18"/>
                <w:szCs w:val="18"/>
              </w:rPr>
              <w:t>3</w:t>
            </w:r>
          </w:p>
        </w:tc>
        <w:tc>
          <w:tcPr>
            <w:tcW w:type="dxa" w:w="1248"/>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950</w:t>
            </w:r>
          </w:p>
        </w:tc>
        <w:tc>
          <w:tcPr>
            <w:tcW w:type="dxa" w:w="1671"/>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8</w:t>
            </w:r>
          </w:p>
        </w:tc>
        <w:tc>
          <w:tcPr>
            <w:tcW w:type="dxa" w:w="1639"/>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71</w:t>
            </w:r>
          </w:p>
        </w:tc>
        <w:tc>
          <w:tcPr>
            <w:tcW w:type="dxa" w:w="1179"/>
            <w:vMerge w:val="continue"/>
            <w:tcBorders>
              <w:top w:val="none"/>
              <w:left w:color="FFFFFF" w:space="0" w:sz="8" w:val="single"/>
              <w:bottom w:val="non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r>
          </w:p>
        </w:tc>
      </w:tr>
      <w:tr>
        <w:trPr>
          <w:trHeight w:hRule="atLeast" w:val="274"/>
          <w:cantSplit w:val="false"/>
        </w:trPr>
        <w:tc>
          <w:tcPr>
            <w:tcW w:type="dxa" w:w="912"/>
            <w:tcBorders>
              <w:top w:color="FFFFFF" w:space="0" w:sz="8" w:val="single"/>
              <w:left w:color="FFFFFF" w:space="0" w:sz="8" w:val="single"/>
              <w:bottom w:color="FFFFFF" w:space="0" w:sz="8" w:val="single"/>
              <w:right w:color="FFFFFF" w:space="0" w:sz="8" w:val="single"/>
            </w:tcBorders>
            <w:shd w:fill="E9EDF4" w:val="clear"/>
            <w:tcMar>
              <w:left w:type="dxa" w:w="-10"/>
            </w:tcMar>
          </w:tcPr>
          <w:p>
            <w:pPr>
              <w:pStyle w:val="style40"/>
              <w:spacing w:after="28" w:before="28"/>
              <w:contextualSpacing w:val="false"/>
            </w:pPr>
            <w:r>
              <w:rPr>
                <w:rFonts w:ascii="Verdana" w:hAnsi="Verdana"/>
                <w:sz w:val="18"/>
                <w:szCs w:val="18"/>
              </w:rPr>
              <w:t>10</w:t>
            </w:r>
          </w:p>
        </w:tc>
        <w:tc>
          <w:tcPr>
            <w:tcW w:type="dxa" w:w="1248"/>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953</w:t>
            </w:r>
          </w:p>
        </w:tc>
        <w:tc>
          <w:tcPr>
            <w:tcW w:type="dxa" w:w="1671"/>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10</w:t>
            </w:r>
          </w:p>
        </w:tc>
        <w:tc>
          <w:tcPr>
            <w:tcW w:type="dxa" w:w="1639"/>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17</w:t>
            </w:r>
          </w:p>
        </w:tc>
        <w:tc>
          <w:tcPr>
            <w:tcW w:type="dxa" w:w="1179"/>
            <w:vMerge w:val="restart"/>
            <w:tcBorders>
              <w:top w:val="none"/>
              <w:left w:color="FFFFFF" w:space="0" w:sz="8" w:val="single"/>
              <w:bottom w:val="non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r>
          </w:p>
        </w:tc>
      </w:tr>
      <w:tr>
        <w:trPr>
          <w:trHeight w:hRule="atLeast" w:val="274"/>
          <w:cantSplit w:val="false"/>
        </w:trPr>
        <w:tc>
          <w:tcPr>
            <w:tcW w:type="dxa" w:w="912"/>
            <w:tcBorders>
              <w:top w:color="FFFFFF" w:space="0" w:sz="8" w:val="single"/>
              <w:left w:color="FFFFFF" w:space="0" w:sz="8" w:val="single"/>
              <w:bottom w:color="FFFFFF" w:space="0" w:sz="8" w:val="single"/>
              <w:right w:color="FFFFFF" w:space="0" w:sz="8" w:val="single"/>
            </w:tcBorders>
            <w:shd w:fill="E9EDF4" w:val="clear"/>
            <w:tcMar>
              <w:left w:type="dxa" w:w="-10"/>
            </w:tcMar>
          </w:tcPr>
          <w:p>
            <w:pPr>
              <w:pStyle w:val="style40"/>
              <w:spacing w:after="28" w:before="28"/>
              <w:contextualSpacing w:val="false"/>
            </w:pPr>
            <w:r>
              <w:rPr>
                <w:rFonts w:ascii="Verdana" w:hAnsi="Verdana"/>
                <w:sz w:val="18"/>
                <w:szCs w:val="18"/>
              </w:rPr>
              <w:t>11</w:t>
            </w:r>
          </w:p>
        </w:tc>
        <w:tc>
          <w:tcPr>
            <w:tcW w:type="dxa" w:w="1248"/>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346</w:t>
            </w:r>
          </w:p>
        </w:tc>
        <w:tc>
          <w:tcPr>
            <w:tcW w:type="dxa" w:w="1671"/>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5</w:t>
            </w:r>
          </w:p>
        </w:tc>
        <w:tc>
          <w:tcPr>
            <w:tcW w:type="dxa" w:w="1639"/>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14</w:t>
            </w:r>
          </w:p>
        </w:tc>
        <w:tc>
          <w:tcPr>
            <w:tcW w:type="dxa" w:w="1179"/>
            <w:vMerge w:val="continue"/>
            <w:tcBorders>
              <w:top w:val="non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r>
          </w:p>
        </w:tc>
      </w:tr>
      <w:tr>
        <w:trPr>
          <w:trHeight w:hRule="atLeast" w:val="274"/>
          <w:cantSplit w:val="false"/>
        </w:trPr>
        <w:tc>
          <w:tcPr>
            <w:tcW w:type="dxa" w:w="912"/>
            <w:tcBorders>
              <w:top w:color="FFFFFF" w:space="0" w:sz="8" w:val="single"/>
              <w:left w:color="FFFFFF" w:space="0" w:sz="8" w:val="single"/>
              <w:bottom w:color="FFFFFF" w:space="0" w:sz="8" w:val="single"/>
              <w:right w:color="FFFFFF" w:space="0" w:sz="8" w:val="single"/>
            </w:tcBorders>
            <w:shd w:fill="00B050" w:val="clear"/>
            <w:tcMar>
              <w:left w:type="dxa" w:w="-10"/>
            </w:tcMar>
          </w:tcPr>
          <w:p>
            <w:pPr>
              <w:pStyle w:val="style40"/>
              <w:spacing w:after="28" w:before="28"/>
              <w:contextualSpacing w:val="false"/>
            </w:pPr>
            <w:r>
              <w:rPr>
                <w:rFonts w:ascii="Verdana" w:hAnsi="Verdana"/>
                <w:sz w:val="18"/>
                <w:szCs w:val="18"/>
              </w:rPr>
              <w:t>12</w:t>
            </w:r>
          </w:p>
        </w:tc>
        <w:tc>
          <w:tcPr>
            <w:tcW w:type="dxa" w:w="1248"/>
            <w:tcBorders>
              <w:top w:color="FFFFFF" w:space="0" w:sz="8" w:val="single"/>
              <w:left w:color="FFFFFF" w:space="0" w:sz="8" w:val="single"/>
              <w:bottom w:color="FFFFFF" w:space="0" w:sz="8" w:val="single"/>
              <w:right w:color="FFFFFF" w:space="0" w:sz="8" w:val="single"/>
            </w:tcBorders>
            <w:shd w:fill="00B050" w:val="clear"/>
            <w:tcMar>
              <w:top w:type="dxa" w:w="15"/>
              <w:left w:type="dxa" w:w="5"/>
              <w:right w:type="dxa" w:w="15"/>
            </w:tcMar>
            <w:vAlign w:val="bottom"/>
          </w:tcPr>
          <w:p>
            <w:pPr>
              <w:pStyle w:val="style40"/>
              <w:spacing w:after="28" w:before="28"/>
              <w:contextualSpacing w:val="false"/>
            </w:pPr>
            <w:r>
              <w:rPr>
                <w:rFonts w:ascii="Verdana" w:hAnsi="Verdana"/>
                <w:sz w:val="18"/>
                <w:szCs w:val="18"/>
              </w:rPr>
              <w:t>962</w:t>
            </w:r>
          </w:p>
        </w:tc>
        <w:tc>
          <w:tcPr>
            <w:tcW w:type="dxa" w:w="1671"/>
            <w:tcBorders>
              <w:top w:color="FFFFFF" w:space="0" w:sz="8" w:val="single"/>
              <w:left w:color="FFFFFF" w:space="0" w:sz="8" w:val="single"/>
              <w:bottom w:color="FFFFFF" w:space="0" w:sz="8" w:val="single"/>
              <w:right w:color="FFFFFF" w:space="0" w:sz="8" w:val="single"/>
            </w:tcBorders>
            <w:shd w:fill="00B050" w:val="clear"/>
            <w:tcMar>
              <w:top w:type="dxa" w:w="15"/>
              <w:left w:type="dxa" w:w="5"/>
              <w:right w:type="dxa" w:w="15"/>
            </w:tcMar>
            <w:vAlign w:val="bottom"/>
          </w:tcPr>
          <w:p>
            <w:pPr>
              <w:pStyle w:val="style40"/>
              <w:spacing w:after="28" w:before="28"/>
              <w:contextualSpacing w:val="false"/>
            </w:pPr>
            <w:r>
              <w:rPr>
                <w:rFonts w:ascii="Verdana" w:hAnsi="Verdana"/>
                <w:sz w:val="18"/>
                <w:szCs w:val="18"/>
              </w:rPr>
              <w:t>5</w:t>
            </w:r>
          </w:p>
        </w:tc>
        <w:tc>
          <w:tcPr>
            <w:tcW w:type="dxa" w:w="1639"/>
            <w:tcBorders>
              <w:top w:color="FFFFFF" w:space="0" w:sz="8" w:val="single"/>
              <w:left w:color="FFFFFF" w:space="0" w:sz="8" w:val="single"/>
              <w:bottom w:color="FFFFFF" w:space="0" w:sz="8" w:val="single"/>
              <w:right w:color="FFFFFF" w:space="0" w:sz="8" w:val="single"/>
            </w:tcBorders>
            <w:shd w:fill="00B050" w:val="clear"/>
            <w:tcMar>
              <w:top w:type="dxa" w:w="15"/>
              <w:left w:type="dxa" w:w="5"/>
              <w:right w:type="dxa" w:w="15"/>
            </w:tcMar>
            <w:vAlign w:val="bottom"/>
          </w:tcPr>
          <w:p>
            <w:pPr>
              <w:pStyle w:val="style40"/>
              <w:spacing w:after="28" w:before="28"/>
              <w:contextualSpacing w:val="false"/>
            </w:pPr>
            <w:r>
              <w:rPr>
                <w:rFonts w:ascii="Verdana" w:hAnsi="Verdana"/>
                <w:sz w:val="18"/>
                <w:szCs w:val="18"/>
              </w:rPr>
              <w:t>13</w:t>
            </w:r>
          </w:p>
        </w:tc>
        <w:tc>
          <w:tcPr>
            <w:tcW w:type="dxa" w:w="1179"/>
            <w:tcBorders>
              <w:top w:color="FFFFFF" w:space="0" w:sz="8" w:val="single"/>
              <w:left w:color="FFFFFF" w:space="0" w:sz="8" w:val="single"/>
              <w:bottom w:color="FFFFFF" w:space="0" w:sz="8" w:val="single"/>
              <w:right w:color="FFFFFF" w:space="0" w:sz="8" w:val="single"/>
            </w:tcBorders>
            <w:shd w:fill="00B050" w:val="clear"/>
            <w:tcMar>
              <w:top w:type="dxa" w:w="15"/>
              <w:left w:type="dxa" w:w="5"/>
              <w:right w:type="dxa" w:w="15"/>
            </w:tcMar>
            <w:vAlign w:val="bottom"/>
          </w:tcPr>
          <w:p>
            <w:pPr>
              <w:pStyle w:val="style40"/>
              <w:spacing w:after="28" w:before="28"/>
              <w:contextualSpacing w:val="false"/>
            </w:pPr>
            <w:r>
              <w:rPr>
                <w:rFonts w:ascii="Verdana" w:hAnsi="Verdana"/>
                <w:sz w:val="18"/>
                <w:szCs w:val="18"/>
              </w:rPr>
              <w:t> </w:t>
            </w:r>
          </w:p>
        </w:tc>
      </w:tr>
      <w:tr>
        <w:trPr>
          <w:trHeight w:hRule="atLeast" w:val="274"/>
          <w:cantSplit w:val="false"/>
        </w:trPr>
        <w:tc>
          <w:tcPr>
            <w:tcW w:type="dxa" w:w="912"/>
            <w:tcBorders>
              <w:top w:color="FFFFFF" w:space="0" w:sz="8" w:val="single"/>
              <w:left w:color="FFFFFF" w:space="0" w:sz="8" w:val="single"/>
              <w:bottom w:color="FFFFFF" w:space="0" w:sz="8" w:val="single"/>
              <w:right w:color="FFFFFF" w:space="0" w:sz="8" w:val="single"/>
            </w:tcBorders>
            <w:shd w:fill="E9EDF4" w:val="clear"/>
            <w:tcMar>
              <w:left w:type="dxa" w:w="-10"/>
            </w:tcMar>
          </w:tcPr>
          <w:p>
            <w:pPr>
              <w:pStyle w:val="style40"/>
              <w:spacing w:after="28" w:before="28"/>
              <w:contextualSpacing w:val="false"/>
            </w:pPr>
            <w:r>
              <w:rPr>
                <w:rFonts w:ascii="Verdana" w:hAnsi="Verdana"/>
                <w:sz w:val="18"/>
                <w:szCs w:val="18"/>
              </w:rPr>
            </w:r>
          </w:p>
        </w:tc>
        <w:tc>
          <w:tcPr>
            <w:tcW w:type="dxa" w:w="1248"/>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338</w:t>
            </w:r>
          </w:p>
        </w:tc>
        <w:tc>
          <w:tcPr>
            <w:tcW w:type="dxa" w:w="1671"/>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22</w:t>
            </w:r>
          </w:p>
        </w:tc>
        <w:tc>
          <w:tcPr>
            <w:tcW w:type="dxa" w:w="1639"/>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12</w:t>
            </w:r>
          </w:p>
        </w:tc>
        <w:tc>
          <w:tcPr>
            <w:tcW w:type="dxa" w:w="1179"/>
            <w:vMerge w:val="restart"/>
            <w:tcBorders>
              <w:top w:color="FFFFFF" w:space="0" w:sz="8" w:val="single"/>
              <w:left w:color="FFFFFF" w:space="0" w:sz="8" w:val="single"/>
              <w:bottom w:val="non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r>
          </w:p>
        </w:tc>
      </w:tr>
      <w:tr>
        <w:trPr>
          <w:trHeight w:hRule="atLeast" w:val="274"/>
          <w:cantSplit w:val="false"/>
        </w:trPr>
        <w:tc>
          <w:tcPr>
            <w:tcW w:type="dxa" w:w="912"/>
            <w:tcBorders>
              <w:top w:color="FFFFFF" w:space="0" w:sz="8" w:val="single"/>
              <w:left w:color="FFFFFF" w:space="0" w:sz="8" w:val="single"/>
              <w:bottom w:color="FFFFFF" w:space="0" w:sz="8" w:val="single"/>
              <w:right w:color="FFFFFF" w:space="0" w:sz="8" w:val="single"/>
            </w:tcBorders>
            <w:shd w:fill="E9EDF4" w:val="clear"/>
            <w:tcMar>
              <w:left w:type="dxa" w:w="-10"/>
            </w:tcMar>
          </w:tcPr>
          <w:p>
            <w:pPr>
              <w:pStyle w:val="style40"/>
              <w:spacing w:after="28" w:before="28"/>
              <w:contextualSpacing w:val="false"/>
            </w:pPr>
            <w:r>
              <w:rPr>
                <w:rFonts w:ascii="Verdana" w:hAnsi="Verdana"/>
                <w:sz w:val="18"/>
                <w:szCs w:val="18"/>
              </w:rPr>
            </w:r>
          </w:p>
        </w:tc>
        <w:tc>
          <w:tcPr>
            <w:tcW w:type="dxa" w:w="1248"/>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330</w:t>
            </w:r>
          </w:p>
        </w:tc>
        <w:tc>
          <w:tcPr>
            <w:tcW w:type="dxa" w:w="1671"/>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10</w:t>
            </w:r>
          </w:p>
        </w:tc>
        <w:tc>
          <w:tcPr>
            <w:tcW w:type="dxa" w:w="1639"/>
            <w:tcBorders>
              <w:top w:color="FFFFFF" w:space="0" w:sz="8" w:val="singl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t>12</w:t>
            </w:r>
          </w:p>
        </w:tc>
        <w:tc>
          <w:tcPr>
            <w:tcW w:type="dxa" w:w="1179"/>
            <w:vMerge w:val="continue"/>
            <w:tcBorders>
              <w:top w:val="none"/>
              <w:left w:color="FFFFFF" w:space="0" w:sz="8" w:val="single"/>
              <w:bottom w:color="FFFFFF" w:space="0" w:sz="8" w:val="single"/>
              <w:right w:color="FFFFFF" w:space="0" w:sz="8" w:val="single"/>
            </w:tcBorders>
            <w:shd w:fill="E9EDF4" w:val="clear"/>
            <w:tcMar>
              <w:top w:type="dxa" w:w="15"/>
              <w:left w:type="dxa" w:w="5"/>
              <w:right w:type="dxa" w:w="15"/>
            </w:tcMar>
            <w:vAlign w:val="bottom"/>
          </w:tcPr>
          <w:p>
            <w:pPr>
              <w:pStyle w:val="style40"/>
              <w:spacing w:after="28" w:before="28"/>
              <w:contextualSpacing w:val="false"/>
            </w:pPr>
            <w:r>
              <w:rPr>
                <w:rFonts w:ascii="Verdana" w:hAnsi="Verdana"/>
                <w:sz w:val="18"/>
                <w:szCs w:val="18"/>
              </w:rPr>
            </w:r>
          </w:p>
        </w:tc>
      </w:tr>
    </w:tbl>
    <w:p>
      <w:pPr>
        <w:pStyle w:val="style0"/>
        <w:jc w:val="both"/>
      </w:pPr>
      <w:r>
        <w:rPr>
          <w:rFonts w:ascii="Verdana" w:hAnsi="Verdana"/>
          <w:sz w:val="18"/>
          <w:szCs w:val="18"/>
        </w:rPr>
      </w:r>
    </w:p>
    <w:p>
      <w:pPr>
        <w:pStyle w:val="style0"/>
        <w:jc w:val="both"/>
      </w:pPr>
      <w:r>
        <w:rPr/>
      </w:r>
    </w:p>
    <w:p>
      <w:pPr>
        <w:pStyle w:val="style0"/>
        <w:jc w:val="both"/>
      </w:pPr>
      <w:r>
        <w:rPr/>
        <w:t>Conclusion</w:t>
      </w:r>
    </w:p>
    <w:p>
      <w:pPr>
        <w:pStyle w:val="style0"/>
        <w:jc w:val="both"/>
      </w:pPr>
      <w:r>
        <w:rPr/>
      </w:r>
    </w:p>
    <w:p>
      <w:pPr>
        <w:pStyle w:val="style0"/>
        <w:jc w:val="both"/>
      </w:pPr>
      <w:r>
        <w:rPr/>
        <w:t>Citation counts are powerful tools that must be used wisely; similar to other tools, they have their strengths and weaknesses. Citation tracking is sometimes limited to a period of time (e.g. scopus 1996+), poor indexing, non-scholarly citations (e.g. Google scholar), components and time span, updating period, coverage, etc.</w:t>
      </w:r>
      <w:r>
        <w:rPr>
          <w:rStyle w:val="style19"/>
        </w:rPr>
        <w:t xml:space="preserve"> </w:t>
      </w:r>
      <w:r>
        <w:rPr>
          <w:rStyle w:val="style19"/>
          <w:rStyle w:val="style32"/>
        </w:rPr>
        <w:footnoteReference w:id="5"/>
      </w:r>
      <w:r>
        <w:rPr/>
        <w:t xml:space="preserve"> However they remain the only tool that quantifies publications with an increasingly significant importance.</w:t>
      </w:r>
    </w:p>
    <w:p>
      <w:pPr>
        <w:pStyle w:val="style0"/>
        <w:jc w:val="both"/>
      </w:pPr>
      <w:r>
        <w:rPr/>
        <w:t>We will be investigating in the next few weeks other collections, or new methods to analyze our collection. It could be also interesting to establish a five years comparative study where h-index gives us a threshold for analysis.</w:t>
      </w:r>
    </w:p>
    <w:p>
      <w:pPr>
        <w:pStyle w:val="style40"/>
      </w:pPr>
      <w:r>
        <w:rPr>
          <w:rFonts w:ascii="Verdana" w:hAnsi="Verdana"/>
          <w:sz w:val="18"/>
          <w:szCs w:val="18"/>
        </w:rPr>
      </w:r>
    </w:p>
    <w:p>
      <w:pPr>
        <w:pStyle w:val="style40"/>
      </w:pPr>
      <w:bookmarkStart w:id="0" w:name="_GoBack"/>
      <w:bookmarkStart w:id="1" w:name="_GoBack"/>
      <w:bookmarkEnd w:id="1"/>
      <w:r>
        <w:rPr>
          <w:rFonts w:ascii="Verdana" w:hAnsi="Verdana"/>
          <w:sz w:val="18"/>
          <w:szCs w:val="18"/>
        </w:rPr>
      </w:r>
    </w:p>
    <w:p>
      <w:pPr>
        <w:pStyle w:val="style40"/>
        <w:spacing w:after="28" w:before="28"/>
        <w:ind w:firstLine="720" w:left="2880" w:right="0"/>
        <w:contextualSpacing w:val="false"/>
      </w:pPr>
      <w:r>
        <w:rPr>
          <w:rFonts w:ascii="" w:cs="" w:hAnsi=""/>
          <w:sz w:val="22"/>
          <w:szCs w:val="22"/>
        </w:rPr>
        <w:t>Mariette Atallah, Ph.D.</w:t>
      </w:r>
    </w:p>
    <w:p>
      <w:pPr>
        <w:pStyle w:val="style40"/>
        <w:spacing w:after="28" w:before="28"/>
        <w:ind w:hanging="0" w:left="3600" w:right="0"/>
        <w:contextualSpacing w:val="false"/>
      </w:pPr>
      <w:r>
        <w:rPr>
          <w:rFonts w:ascii="" w:cs="" w:hAnsi=""/>
          <w:sz w:val="22"/>
          <w:szCs w:val="22"/>
        </w:rPr>
        <w:t>Head/Collection Development and Acquisitions Department</w:t>
      </w:r>
    </w:p>
    <w:p>
      <w:pPr>
        <w:pStyle w:val="style40"/>
        <w:spacing w:after="28" w:before="28"/>
        <w:ind w:hanging="0" w:left="3600" w:right="0"/>
        <w:contextualSpacing w:val="false"/>
      </w:pPr>
      <w:r>
        <w:rPr>
          <w:rFonts w:ascii="" w:cs="" w:hAnsi=""/>
          <w:sz w:val="22"/>
          <w:szCs w:val="22"/>
        </w:rPr>
        <w:t>Assistant Professor</w:t>
        <w:br/>
        <w:t>Sociology, Anthropology and Media Studies</w:t>
      </w:r>
    </w:p>
    <w:p>
      <w:pPr>
        <w:pStyle w:val="style40"/>
        <w:spacing w:after="28" w:before="28"/>
        <w:ind w:firstLine="720" w:left="2880" w:right="0"/>
        <w:contextualSpacing w:val="false"/>
      </w:pPr>
      <w:r>
        <w:rPr>
          <w:rFonts w:ascii="" w:cs="" w:hAnsi=""/>
          <w:sz w:val="22"/>
          <w:szCs w:val="22"/>
        </w:rPr>
        <w:t>American University of Beirut</w:t>
      </w:r>
    </w:p>
    <w:p>
      <w:pPr>
        <w:pStyle w:val="style40"/>
        <w:spacing w:after="28" w:before="28"/>
        <w:ind w:firstLine="720" w:left="2880" w:right="0"/>
        <w:contextualSpacing w:val="false"/>
      </w:pPr>
      <w:r>
        <w:rPr>
          <w:rFonts w:ascii="" w:cs="" w:hAnsi=""/>
          <w:sz w:val="22"/>
          <w:szCs w:val="22"/>
        </w:rPr>
        <w:t xml:space="preserve">Lebanon </w:t>
      </w:r>
    </w:p>
    <w:p>
      <w:pPr>
        <w:pStyle w:val="style40"/>
        <w:spacing w:after="28" w:before="28"/>
        <w:ind w:firstLine="720" w:left="2880" w:right="0"/>
        <w:contextualSpacing w:val="false"/>
      </w:pPr>
      <w:r>
        <w:rPr>
          <w:rFonts w:ascii="" w:cs="" w:hAnsi=""/>
          <w:sz w:val="22"/>
          <w:szCs w:val="22"/>
        </w:rPr>
        <w:t>mariette.atallah@aub.edu.lb</w:t>
      </w:r>
    </w:p>
    <w:p>
      <w:pPr>
        <w:pStyle w:val="style40"/>
        <w:pageBreakBefore/>
      </w:pPr>
      <w:r>
        <w:rPr>
          <w:rFonts w:ascii="Verdana" w:hAnsi="Verdana"/>
          <w:sz w:val="18"/>
          <w:szCs w:val="18"/>
        </w:rPr>
        <w:t xml:space="preserve"> </w:t>
      </w:r>
    </w:p>
    <w:p>
      <w:pPr>
        <w:pStyle w:val="style40"/>
        <w:jc w:val="both"/>
      </w:pPr>
      <w:r>
        <w:rPr/>
        <w:t>References</w:t>
      </w:r>
    </w:p>
    <w:p>
      <w:pPr>
        <w:pStyle w:val="style40"/>
        <w:spacing w:after="28" w:before="28"/>
        <w:ind w:hanging="450" w:left="450" w:right="0"/>
        <w:contextualSpacing w:val="false"/>
        <w:jc w:val="both"/>
      </w:pPr>
      <w:r>
        <w:rPr/>
        <w:t>Adams, B. &amp; Noel, B. (2008). Circulation statistics in the evaluation of collection development.</w:t>
      </w:r>
      <w:r>
        <w:rPr>
          <w:i/>
          <w:iCs/>
        </w:rPr>
        <w:t xml:space="preserve"> Collection Building, 27</w:t>
      </w:r>
      <w:r>
        <w:rPr/>
        <w:t xml:space="preserve">(2), 71-73. doi: 10.1108/01604950810870227 </w:t>
      </w:r>
    </w:p>
    <w:p>
      <w:pPr>
        <w:pStyle w:val="style40"/>
        <w:spacing w:after="28" w:before="28"/>
        <w:ind w:hanging="450" w:left="450" w:right="0"/>
        <w:contextualSpacing w:val="false"/>
        <w:jc w:val="both"/>
      </w:pPr>
      <w:r>
        <w:rPr/>
      </w:r>
    </w:p>
    <w:p>
      <w:pPr>
        <w:pStyle w:val="style0"/>
        <w:shd w:fill="FFFFFF" w:val="clear"/>
        <w:ind w:hanging="450" w:left="450" w:right="0"/>
        <w:jc w:val="both"/>
      </w:pPr>
      <w:r>
        <w:rPr/>
        <w:t xml:space="preserve">Ameen, K., &amp; Haider, S. J. (2007). Book selection strategies in university libraries of Pakistan: </w:t>
      </w:r>
      <w:r>
        <w:rPr>
          <w:rFonts w:ascii="" w:cs="" w:hAnsi=""/>
        </w:rPr>
        <w:t xml:space="preserve">An analysis. </w:t>
      </w:r>
      <w:r>
        <w:rPr>
          <w:rFonts w:ascii="" w:cs="" w:hAnsi=""/>
          <w:i/>
          <w:iCs/>
        </w:rPr>
        <w:t>Library Collections, Acquisitions, &amp; Technical Services</w:t>
      </w:r>
      <w:r>
        <w:rPr>
          <w:rFonts w:ascii="" w:cs="" w:hAnsi=""/>
        </w:rPr>
        <w:t xml:space="preserve">, 31 (3-4), 208-219. doi: </w:t>
      </w:r>
      <w:hyperlink r:id="rId6">
        <w:r>
          <w:rPr>
            <w:rStyle w:val="style16"/>
            <w:rFonts w:ascii="" w:cs="" w:eastAsia="Arial Unicode MS" w:hAnsi=""/>
          </w:rPr>
          <w:t>http://dx.doi.org/10.1016/j.lcats.2007.11.002</w:t>
        </w:r>
      </w:hyperlink>
    </w:p>
    <w:p>
      <w:pPr>
        <w:pStyle w:val="style0"/>
        <w:shd w:fill="FFFFFF" w:val="clear"/>
        <w:ind w:hanging="450" w:left="450" w:right="0"/>
        <w:jc w:val="both"/>
      </w:pPr>
      <w:r>
        <w:rPr>
          <w:rFonts w:ascii="Arial Unicode MS" w:cs="Arial Unicode MS" w:eastAsia="Arial Unicode MS" w:hAnsi="Arial Unicode MS"/>
          <w:color w:val="5C5C5C"/>
          <w:sz w:val="16"/>
          <w:szCs w:val="16"/>
        </w:rPr>
      </w:r>
    </w:p>
    <w:p>
      <w:pPr>
        <w:pStyle w:val="style40"/>
        <w:spacing w:after="28" w:before="28"/>
        <w:ind w:hanging="450" w:left="450" w:right="0"/>
        <w:contextualSpacing w:val="false"/>
        <w:jc w:val="both"/>
      </w:pPr>
      <w:r>
        <w:rPr/>
        <w:t>Hirsch, J. E. (2005). An index to quantify an individual's scientific research output.</w:t>
      </w:r>
      <w:r>
        <w:rPr>
          <w:i/>
          <w:iCs/>
        </w:rPr>
        <w:t xml:space="preserve"> Proceedings of the National Academy of Sciences of the United States of America, 102</w:t>
      </w:r>
      <w:r>
        <w:rPr/>
        <w:t xml:space="preserve">(46), 16569-16572. doi: 10.1073/pnas.0507655102 </w:t>
      </w:r>
    </w:p>
    <w:p>
      <w:pPr>
        <w:pStyle w:val="style40"/>
        <w:spacing w:after="28" w:before="28"/>
        <w:ind w:hanging="450" w:left="450" w:right="0"/>
        <w:contextualSpacing w:val="false"/>
        <w:jc w:val="both"/>
      </w:pPr>
      <w:r>
        <w:rPr/>
      </w:r>
    </w:p>
    <w:p>
      <w:pPr>
        <w:pStyle w:val="style40"/>
        <w:spacing w:after="28" w:before="28"/>
        <w:ind w:hanging="450" w:left="450" w:right="0"/>
        <w:contextualSpacing w:val="false"/>
        <w:jc w:val="both"/>
      </w:pPr>
      <w:r>
        <w:rPr/>
        <w:t>Kim, P. J., Lee, J. Y., &amp; Park, J. H. (2009). Developing a new collection -evaluation method:Mapping and the user-side h-index.</w:t>
      </w:r>
      <w:r>
        <w:rPr>
          <w:i/>
          <w:iCs/>
        </w:rPr>
        <w:t xml:space="preserve"> Journal of American Society for Information Science and Technolgy, 60</w:t>
      </w:r>
      <w:r>
        <w:rPr/>
        <w:t xml:space="preserve">(11), 2366-2377. </w:t>
      </w:r>
    </w:p>
    <w:p>
      <w:pPr>
        <w:pStyle w:val="style40"/>
        <w:spacing w:after="28" w:before="28"/>
        <w:ind w:hanging="450" w:left="450" w:right="0"/>
        <w:contextualSpacing w:val="false"/>
        <w:jc w:val="both"/>
      </w:pPr>
      <w:r>
        <w:rPr/>
      </w:r>
    </w:p>
    <w:p>
      <w:pPr>
        <w:pStyle w:val="style40"/>
        <w:spacing w:after="28" w:before="28"/>
        <w:ind w:hanging="450" w:left="450" w:right="0"/>
        <w:contextualSpacing w:val="false"/>
        <w:jc w:val="both"/>
      </w:pPr>
      <w:r>
        <w:rPr/>
        <w:t>Lewis, J. S. (July 2000). An assessment of publisher quality by political science librarian.</w:t>
      </w:r>
      <w:r>
        <w:rPr>
          <w:i/>
          <w:iCs/>
        </w:rPr>
        <w:t xml:space="preserve"> College &amp; Research Libraries, 61</w:t>
      </w:r>
      <w:r>
        <w:rPr/>
        <w:t xml:space="preserve">(4), 313-323. </w:t>
      </w:r>
    </w:p>
    <w:p>
      <w:pPr>
        <w:pStyle w:val="style40"/>
        <w:spacing w:after="28" w:before="28"/>
        <w:ind w:hanging="450" w:left="450" w:right="0"/>
        <w:contextualSpacing w:val="false"/>
        <w:jc w:val="both"/>
      </w:pPr>
      <w:r>
        <w:rPr/>
      </w:r>
    </w:p>
    <w:p>
      <w:pPr>
        <w:pStyle w:val="style40"/>
        <w:spacing w:after="28" w:before="28"/>
        <w:ind w:hanging="450" w:left="450" w:right="0"/>
        <w:contextualSpacing w:val="false"/>
        <w:jc w:val="both"/>
      </w:pPr>
      <w:r>
        <w:rPr/>
        <w:t>Meho, L. &amp; Yang, H. (November 2007). Impact on citation counts and rankings of LIS faculty: Web of science versus scopus and google scholar.</w:t>
      </w:r>
      <w:r>
        <w:rPr>
          <w:i/>
          <w:iCs/>
        </w:rPr>
        <w:t xml:space="preserve"> Journal of the American Society for Information Science and Technology, 58</w:t>
      </w:r>
      <w:r>
        <w:rPr/>
        <w:t xml:space="preserve">(13), 2105-2125. </w:t>
      </w:r>
    </w:p>
    <w:p>
      <w:pPr>
        <w:pStyle w:val="style40"/>
        <w:spacing w:after="28" w:before="28"/>
        <w:ind w:hanging="450" w:left="450" w:right="0"/>
        <w:contextualSpacing w:val="false"/>
        <w:jc w:val="both"/>
      </w:pPr>
      <w:r>
        <w:rPr/>
      </w:r>
    </w:p>
    <w:p>
      <w:pPr>
        <w:pStyle w:val="style40"/>
        <w:spacing w:after="28" w:before="28"/>
        <w:ind w:hanging="450" w:left="450" w:right="0"/>
        <w:contextualSpacing w:val="false"/>
        <w:jc w:val="both"/>
      </w:pPr>
      <w:r>
        <w:rPr/>
        <w:t>Metz, P. &amp; Stemmer, J. (May 1996). A reputational study of academic publishers.</w:t>
      </w:r>
      <w:r>
        <w:rPr>
          <w:i/>
          <w:iCs/>
        </w:rPr>
        <w:t xml:space="preserve"> College &amp; Research Libraries, 57</w:t>
      </w:r>
      <w:r>
        <w:rPr/>
        <w:t xml:space="preserve">, 234-247. </w:t>
      </w:r>
    </w:p>
    <w:p>
      <w:pPr>
        <w:pStyle w:val="style40"/>
        <w:spacing w:after="28" w:before="28"/>
        <w:ind w:hanging="450" w:left="450" w:right="0"/>
        <w:contextualSpacing w:val="false"/>
        <w:jc w:val="both"/>
      </w:pPr>
      <w:r>
        <w:rPr/>
      </w:r>
    </w:p>
    <w:p>
      <w:pPr>
        <w:pStyle w:val="style40"/>
        <w:spacing w:after="28" w:before="28"/>
        <w:ind w:hanging="450" w:left="450" w:right="0"/>
        <w:contextualSpacing w:val="false"/>
        <w:jc w:val="both"/>
      </w:pPr>
      <w:r>
        <w:rPr/>
        <w:t xml:space="preserve">Nisonger, T. E. (1992). </w:t>
      </w:r>
      <w:r>
        <w:rPr>
          <w:i/>
          <w:iCs/>
        </w:rPr>
        <w:t>Collection evaluation in academic libraries: A literature guide and annotated bibliography</w:t>
      </w:r>
      <w:r>
        <w:rPr/>
        <w:t xml:space="preserve">. Englewwod CO: Library unlimited. </w:t>
      </w:r>
    </w:p>
    <w:p>
      <w:pPr>
        <w:pStyle w:val="style40"/>
        <w:spacing w:after="28" w:before="28"/>
        <w:ind w:hanging="450" w:left="450" w:right="0"/>
        <w:contextualSpacing w:val="false"/>
        <w:jc w:val="both"/>
      </w:pPr>
      <w:r>
        <w:rPr/>
      </w:r>
    </w:p>
    <w:p>
      <w:pPr>
        <w:pStyle w:val="style40"/>
        <w:spacing w:after="28" w:before="28"/>
        <w:ind w:hanging="446" w:left="446" w:right="0"/>
        <w:contextualSpacing w:val="false"/>
        <w:jc w:val="both"/>
      </w:pPr>
      <w:r>
        <w:rPr/>
        <w:t>Schmidt, J. B. (1984). Apparatus: A mnemoninic for the evaluation of reference resources.</w:t>
      </w:r>
      <w:r>
        <w:rPr>
          <w:i/>
          <w:iCs/>
        </w:rPr>
        <w:t xml:space="preserve"> The Reference Librarian, 4</w:t>
      </w:r>
      <w:r>
        <w:rPr/>
        <w:t xml:space="preserve">(11), 301-311. doi: </w:t>
      </w:r>
      <w:hyperlink r:id="rId7">
        <w:r>
          <w:rPr>
            <w:rStyle w:val="style16"/>
          </w:rPr>
          <w:t>http://dx.doi.org/10.1300/J120v04n11_23</w:t>
        </w:r>
      </w:hyperlink>
      <w:r>
        <w:rPr/>
        <w:t xml:space="preserve"> </w:t>
      </w:r>
    </w:p>
    <w:p>
      <w:pPr>
        <w:pStyle w:val="style0"/>
        <w:jc w:val="both"/>
      </w:pPr>
      <w:r>
        <w:rPr/>
      </w:r>
    </w:p>
    <w:p>
      <w:pPr>
        <w:pStyle w:val="style0"/>
        <w:shd w:fill="FFFFFF" w:val="clear"/>
        <w:ind w:hanging="446" w:left="450" w:right="0"/>
        <w:jc w:val="both"/>
      </w:pPr>
      <w:r>
        <w:rPr>
          <w:rFonts w:ascii="" w:cs="" w:eastAsia="Arial Unicode MS" w:hAnsi=""/>
        </w:rPr>
        <w:t xml:space="preserve">Schmidt, K. (2004). </w:t>
      </w:r>
      <w:r>
        <w:rPr>
          <w:rFonts w:ascii="" w:cs="" w:eastAsia="Arial Unicode MS" w:hAnsi=""/>
        </w:rPr>
        <w:t xml:space="preserve">Past perfect, future tense: A survey of issues in collection development. </w:t>
      </w:r>
      <w:r>
        <w:rPr>
          <w:rFonts w:ascii="" w:cs="" w:eastAsia="Arial Unicode MS" w:hAnsi=""/>
          <w:i/>
          <w:iCs/>
        </w:rPr>
        <w:t>Library Collections, Acquisitions &amp; Technical Services</w:t>
      </w:r>
      <w:r>
        <w:rPr>
          <w:rFonts w:ascii="" w:cs="" w:eastAsia="Arial Unicode MS" w:hAnsi=""/>
        </w:rPr>
        <w:t>, 28, 360-372.</w:t>
      </w:r>
    </w:p>
    <w:p>
      <w:pPr>
        <w:pStyle w:val="style0"/>
        <w:shd w:fill="FFFFFF" w:val="clear"/>
        <w:ind w:hanging="0" w:left="360" w:right="0"/>
        <w:jc w:val="both"/>
      </w:pPr>
      <w:r>
        <w:rPr>
          <w:rFonts w:ascii="" w:cs="" w:eastAsia="Arial Unicode MS" w:hAnsi=""/>
          <w:b/>
          <w:bCs/>
        </w:rPr>
        <w:t xml:space="preserve"> </w:t>
      </w:r>
      <w:r>
        <w:rPr>
          <w:rFonts w:ascii="" w:cs="" w:eastAsia="Arial Unicode MS" w:hAnsi=""/>
        </w:rPr>
        <w:t xml:space="preserve">doi: </w:t>
      </w:r>
      <w:hyperlink r:id="rId8">
        <w:r>
          <w:rPr>
            <w:rStyle w:val="style16"/>
            <w:rFonts w:ascii="" w:cs="" w:eastAsia="Arial Unicode MS" w:hAnsi=""/>
          </w:rPr>
          <w:t>http://dx.doi.org/10.1016/j.lcats.2004.08.012</w:t>
        </w:r>
      </w:hyperlink>
    </w:p>
    <w:p>
      <w:pPr>
        <w:pStyle w:val="style0"/>
        <w:shd w:fill="FFFFFF" w:val="clear"/>
        <w:ind w:hanging="0" w:left="360" w:right="0"/>
        <w:jc w:val="both"/>
      </w:pPr>
      <w:r>
        <w:rPr>
          <w:rFonts w:ascii="" w:cs="" w:eastAsia="Arial Unicode MS" w:hAnsi=""/>
          <w:color w:val="5C5C5C"/>
        </w:rPr>
      </w:r>
    </w:p>
    <w:p>
      <w:pPr>
        <w:pStyle w:val="style0"/>
        <w:shd w:fill="FFFFFF" w:val="clear"/>
        <w:ind w:hanging="360" w:left="360" w:right="0"/>
        <w:jc w:val="both"/>
      </w:pPr>
      <w:r>
        <w:rPr>
          <w:rFonts w:ascii="" w:cs="" w:eastAsia="Arial Unicode MS" w:hAnsi=""/>
        </w:rPr>
        <w:t xml:space="preserve">Smith, D.A. (2008). Percentage based allocation of an academic library materials budget. </w:t>
      </w:r>
      <w:r>
        <w:rPr>
          <w:rFonts w:ascii="" w:cs="" w:eastAsia="Arial Unicode MS" w:hAnsi=""/>
          <w:i/>
          <w:iCs/>
        </w:rPr>
        <w:t>Collection Building</w:t>
      </w:r>
      <w:r>
        <w:rPr>
          <w:rFonts w:ascii="" w:cs="" w:eastAsia="Arial Unicode MS" w:hAnsi=""/>
        </w:rPr>
        <w:t xml:space="preserve">, 27, 30-34. doi: </w:t>
      </w:r>
      <w:hyperlink r:id="rId9">
        <w:r>
          <w:rPr>
            <w:rStyle w:val="style16"/>
            <w:rFonts w:ascii="Arial" w:cs="Arial" w:hAnsi="Arial"/>
            <w:sz w:val="19"/>
            <w:szCs w:val="19"/>
          </w:rPr>
          <w:t>10.1108/01604950810846224</w:t>
        </w:r>
      </w:hyperlink>
    </w:p>
    <w:p>
      <w:pPr>
        <w:pStyle w:val="style0"/>
        <w:spacing w:after="200" w:before="0" w:line="276" w:lineRule="auto"/>
        <w:contextualSpacing w:val="false"/>
        <w:jc w:val="both"/>
      </w:pPr>
      <w:r>
        <w:rPr/>
      </w:r>
    </w:p>
    <w:sectPr>
      <w:footnotePr>
        <w:numFmt w:val="decimal"/>
      </w:footnotePr>
      <w:type w:val="nextPage"/>
      <w:pgSz w:h="15840" w:w="12240"/>
      <w:pgMar w:bottom="1440" w:footer="0" w:gutter="0" w:header="0" w:left="1440" w:right="1440" w:top="1440"/>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ahoma">
    <w:charset w:val="00"/>
    <w:family w:val="roman"/>
    <w:pitch w:val="variable"/>
  </w:font>
  <w:font w:name="">
    <w:charset w:val="00"/>
    <w:family w:val="roman"/>
    <w:pitch w:val="variable"/>
  </w:font>
  <w:font w:name="Dutch801BT-Roman">
    <w:charset w:val="00"/>
    <w:family w:val="roman"/>
    <w:pitch w:val="variable"/>
  </w:font>
  <w:font w:name="Verdana">
    <w:charset w:val="00"/>
    <w:family w:val="roman"/>
    <w:pitch w:val="variable"/>
  </w:font>
  <w:font w:name="Arial (Arabic)">
    <w:charset w:val="00"/>
    <w:family w:val="roman"/>
    <w:pitch w:val="variable"/>
  </w:font>
  <w:font w:name="Arial Unicode MS">
    <w:charset w:val="00"/>
    <w:family w:val="roman"/>
    <w:pitch w:val="variable"/>
  </w:font>
  <w:font w:name="Arial">
    <w:charset w:val="00"/>
    <w:family w:val="roman"/>
    <w:pitch w:val="variable"/>
  </w:font>
  <w:font w:name="Courier New">
    <w:charset w:val="80"/>
    <w:family w:val="modern"/>
    <w:pitch w:val="fixed"/>
  </w:font>
  <w:font w:name="Wingdings">
    <w:charset w:val="02"/>
    <w:family w:val="auto"/>
    <w:pitch w:val="variable"/>
  </w:font>
  <w:font w:name="Arial">
    <w:charset w:val="80"/>
    <w:family w:val="swiss"/>
    <w:pitch w:val="variable"/>
  </w:font>
</w:fonts>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0"/>
        <w:jc w:val="both"/>
      </w:pPr>
      <w:r>
        <w:rPr>
          <w:rStyle w:val="style19"/>
          <w:sz w:val="20"/>
          <w:szCs w:val="20"/>
        </w:rPr>
        <w:footnoteRef/>
        <w:tab/>
      </w:r>
      <w:r>
        <w:rPr>
          <w:sz w:val="20"/>
          <w:szCs w:val="20"/>
        </w:rPr>
        <w:t xml:space="preserve"> </w:t>
      </w:r>
      <w:r>
        <w:rPr>
          <w:sz w:val="20"/>
          <w:szCs w:val="20"/>
        </w:rPr>
        <w:t>In 1996, Metz and Stemmer conducted an academic publishers’ reputational survey, stating that collection development librarians’ perception towards publishers, influence their selection process. While a very high perception for University Presses is noticed, collection development librarians tend to mentally gather publishers around subject scope or market target.</w:t>
      </w:r>
      <w:r>
        <w:rPr/>
        <w:t xml:space="preserve"> </w:t>
      </w:r>
    </w:p>
    <w:p>
      <w:pPr>
        <w:pStyle w:val="style40"/>
        <w:spacing w:after="28" w:before="28"/>
        <w:contextualSpacing w:val="false"/>
      </w:pPr>
      <w:r>
        <w:rPr>
          <w:sz w:val="20"/>
          <w:szCs w:val="20"/>
        </w:rPr>
        <w:tab/>
        <w:t xml:space="preserve">A correlation is found between quality and relevance: the first combination, where ranking for relevance is at least fifteen greater than for quality, gathered Greenwood, Westview, University Press of America and Shape. The second included Atlantic Monthly press, Norton, Alfred Knopf, Penguin and Random House where ranking for quality is at least fifteen greater than for relevance. </w:t>
      </w:r>
    </w:p>
  </w:footnote>
  <w:footnote w:id="3">
    <w:p>
      <w:pPr>
        <w:pStyle w:val="style41"/>
      </w:pPr>
      <w:r>
        <w:rPr>
          <w:rStyle w:val="style19"/>
          <w:rFonts w:eastAsia="Calibri"/>
        </w:rPr>
        <w:footnoteRef/>
        <w:tab/>
      </w:r>
      <w:r>
        <w:rPr/>
        <w:t xml:space="preserve"> </w:t>
      </w:r>
      <w:r>
        <w:rPr/>
        <w:t>p. 97</w:t>
      </w:r>
    </w:p>
  </w:footnote>
  <w:footnote w:id="4">
    <w:p>
      <w:pPr>
        <w:pStyle w:val="style41"/>
      </w:pPr>
      <w:r>
        <w:rPr>
          <w:rStyle w:val="style19"/>
        </w:rPr>
        <w:footnoteRef/>
        <w:tab/>
      </w:r>
      <w:r>
        <w:rPr/>
        <w:t xml:space="preserve"> </w:t>
      </w:r>
      <w:r>
        <w:rPr/>
        <w:t>p. 2370</w:t>
      </w:r>
    </w:p>
  </w:footnote>
  <w:footnote w:id="5">
    <w:p>
      <w:pPr>
        <w:pStyle w:val="style41"/>
      </w:pPr>
      <w:r>
        <w:rPr>
          <w:rStyle w:val="style19"/>
        </w:rPr>
        <w:footnoteRef/>
        <w:tab/>
      </w:r>
      <w:r>
        <w:rPr/>
        <w:t xml:space="preserve"> </w:t>
      </w:r>
      <w:r>
        <w:rPr/>
        <w:t xml:space="preserve">For a quick summary comparing citation counts sources the below link can be checked </w:t>
      </w:r>
      <w:hyperlink r:id="rId1">
        <w:r>
          <w:rPr>
            <w:rStyle w:val="style16"/>
          </w:rPr>
          <w:t>http://guides.lib.umich.edu/content.php?pid=98218&amp;sid=736298</w:t>
        </w:r>
      </w:hyperlink>
    </w:p>
    <w:p>
      <w:pPr>
        <w:pStyle w:val="style41"/>
      </w:pPr>
      <w:r>
        <w:rPr/>
      </w:r>
    </w:p>
  </w:footnote>
</w:footnote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lowerLetter"/>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3">
    <w:lvl w:ilvl="0">
      <w:start w:val="1"/>
      <w:numFmt w:val="bullet"/>
      <w:lvlText w:val=""/>
      <w:lvlJc w:val="left"/>
      <w:pPr>
        <w:ind w:hanging="360" w:left="1800"/>
      </w:pPr>
      <w:rPr>
        <w:rFonts w:ascii="Symbol" w:cs="Symbol" w:hAnsi="Symbol" w:hint="default"/>
      </w:rPr>
    </w:lvl>
    <w:lvl w:ilvl="1">
      <w:start w:val="1"/>
      <w:numFmt w:val="bullet"/>
      <w:lvlText w:val="o"/>
      <w:lvlJc w:val="left"/>
      <w:pPr>
        <w:ind w:hanging="360" w:left="2520"/>
      </w:pPr>
      <w:rPr>
        <w:rFonts w:ascii="Courier New" w:cs="Courier New" w:hAnsi="Courier New" w:hint="default"/>
      </w:rPr>
    </w:lvl>
    <w:lvl w:ilvl="2">
      <w:start w:val="1"/>
      <w:numFmt w:val="bullet"/>
      <w:lvlText w:val=""/>
      <w:lvlJc w:val="left"/>
      <w:pPr>
        <w:ind w:hanging="360" w:left="3240"/>
      </w:pPr>
      <w:rPr>
        <w:rFonts w:ascii="Wingdings" w:cs="Wingdings" w:hAnsi="Wingdings" w:hint="default"/>
      </w:rPr>
    </w:lvl>
    <w:lvl w:ilvl="3">
      <w:start w:val="1"/>
      <w:numFmt w:val="bullet"/>
      <w:lvlText w:val=""/>
      <w:lvlJc w:val="left"/>
      <w:pPr>
        <w:ind w:hanging="360" w:left="3960"/>
      </w:pPr>
      <w:rPr>
        <w:rFonts w:ascii="Symbol" w:cs="Symbol" w:hAnsi="Symbol" w:hint="default"/>
      </w:rPr>
    </w:lvl>
    <w:lvl w:ilvl="4">
      <w:start w:val="1"/>
      <w:numFmt w:val="bullet"/>
      <w:lvlText w:val="o"/>
      <w:lvlJc w:val="left"/>
      <w:pPr>
        <w:ind w:hanging="360" w:left="4680"/>
      </w:pPr>
      <w:rPr>
        <w:rFonts w:ascii="Courier New" w:cs="Courier New" w:hAnsi="Courier New" w:hint="default"/>
      </w:rPr>
    </w:lvl>
    <w:lvl w:ilvl="5">
      <w:start w:val="1"/>
      <w:numFmt w:val="bullet"/>
      <w:lvlText w:val=""/>
      <w:lvlJc w:val="left"/>
      <w:pPr>
        <w:ind w:hanging="360" w:left="5400"/>
      </w:pPr>
      <w:rPr>
        <w:rFonts w:ascii="Wingdings" w:cs="Wingdings" w:hAnsi="Wingdings" w:hint="default"/>
      </w:rPr>
    </w:lvl>
    <w:lvl w:ilvl="6">
      <w:start w:val="1"/>
      <w:numFmt w:val="bullet"/>
      <w:lvlText w:val=""/>
      <w:lvlJc w:val="left"/>
      <w:pPr>
        <w:ind w:hanging="360" w:left="6120"/>
      </w:pPr>
      <w:rPr>
        <w:rFonts w:ascii="Symbol" w:cs="Symbol" w:hAnsi="Symbol" w:hint="default"/>
      </w:rPr>
    </w:lvl>
    <w:lvl w:ilvl="7">
      <w:start w:val="1"/>
      <w:numFmt w:val="bullet"/>
      <w:lvlText w:val="o"/>
      <w:lvlJc w:val="left"/>
      <w:pPr>
        <w:ind w:hanging="360" w:left="6840"/>
      </w:pPr>
      <w:rPr>
        <w:rFonts w:ascii="Courier New" w:cs="Courier New" w:hAnsi="Courier New" w:hint="default"/>
      </w:rPr>
    </w:lvl>
    <w:lvl w:ilvl="8">
      <w:start w:val="1"/>
      <w:numFmt w:val="bullet"/>
      <w:lvlText w:val=""/>
      <w:lvlJc w:val="left"/>
      <w:pPr>
        <w:ind w:hanging="360" w:left="7560"/>
      </w:pPr>
      <w:rPr>
        <w:rFonts w:ascii="Wingdings" w:cs="Wingdings" w:hAnsi="Wingdings" w:hint="default"/>
      </w:rPr>
    </w:lvl>
  </w:abstractNum>
  <w:abstractNum w:abstractNumId="4">
    <w:lvl w:ilvl="0">
      <w:start w:val="2"/>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bullet"/>
      <w:lvlText w:val="•"/>
      <w:lvlJc w:val="left"/>
      <w:pPr>
        <w:tabs>
          <w:tab w:pos="720" w:val="num"/>
        </w:tabs>
        <w:ind w:hanging="360" w:left="720"/>
      </w:pPr>
      <w:rPr>
        <w:rFonts w:ascii="Arial" w:cs="Arial" w:hAnsi="Arial" w:hint="default"/>
      </w:rPr>
    </w:lvl>
    <w:lvl w:ilvl="1">
      <w:start w:val="1"/>
      <w:numFmt w:val="bullet"/>
      <w:lvlText w:val="•"/>
      <w:lvlJc w:val="left"/>
      <w:pPr>
        <w:tabs>
          <w:tab w:pos="1440" w:val="num"/>
        </w:tabs>
        <w:ind w:hanging="360" w:left="1440"/>
      </w:pPr>
      <w:rPr>
        <w:rFonts w:ascii="Arial" w:cs="Arial" w:hAnsi="Arial" w:hint="default"/>
      </w:rPr>
    </w:lvl>
    <w:lvl w:ilvl="2">
      <w:start w:val="1"/>
      <w:numFmt w:val="bullet"/>
      <w:lvlText w:val="•"/>
      <w:lvlJc w:val="left"/>
      <w:pPr>
        <w:tabs>
          <w:tab w:pos="2160" w:val="num"/>
        </w:tabs>
        <w:ind w:hanging="360" w:left="2160"/>
      </w:pPr>
      <w:rPr>
        <w:rFonts w:ascii="Arial" w:cs="Arial" w:hAnsi="Arial" w:hint="default"/>
      </w:rPr>
    </w:lvl>
    <w:lvl w:ilvl="3">
      <w:start w:val="1"/>
      <w:numFmt w:val="bullet"/>
      <w:lvlText w:val="•"/>
      <w:lvlJc w:val="left"/>
      <w:pPr>
        <w:tabs>
          <w:tab w:pos="2880" w:val="num"/>
        </w:tabs>
        <w:ind w:hanging="360" w:left="2880"/>
      </w:pPr>
      <w:rPr>
        <w:rFonts w:ascii="Arial" w:cs="Arial" w:hAnsi="Arial" w:hint="default"/>
      </w:rPr>
    </w:lvl>
    <w:lvl w:ilvl="4">
      <w:start w:val="1"/>
      <w:numFmt w:val="bullet"/>
      <w:lvlText w:val="•"/>
      <w:lvlJc w:val="left"/>
      <w:pPr>
        <w:tabs>
          <w:tab w:pos="3600" w:val="num"/>
        </w:tabs>
        <w:ind w:hanging="360" w:left="3600"/>
      </w:pPr>
      <w:rPr>
        <w:rFonts w:ascii="Arial" w:cs="Arial" w:hAnsi="Arial" w:hint="default"/>
      </w:rPr>
    </w:lvl>
    <w:lvl w:ilvl="5">
      <w:start w:val="1"/>
      <w:numFmt w:val="bullet"/>
      <w:lvlText w:val="•"/>
      <w:lvlJc w:val="left"/>
      <w:pPr>
        <w:tabs>
          <w:tab w:pos="4320" w:val="num"/>
        </w:tabs>
        <w:ind w:hanging="360" w:left="4320"/>
      </w:pPr>
      <w:rPr>
        <w:rFonts w:ascii="Arial" w:cs="Arial" w:hAnsi="Arial" w:hint="default"/>
      </w:rPr>
    </w:lvl>
    <w:lvl w:ilvl="6">
      <w:start w:val="1"/>
      <w:numFmt w:val="bullet"/>
      <w:lvlText w:val="•"/>
      <w:lvlJc w:val="left"/>
      <w:pPr>
        <w:tabs>
          <w:tab w:pos="5040" w:val="num"/>
        </w:tabs>
        <w:ind w:hanging="360" w:left="5040"/>
      </w:pPr>
      <w:rPr>
        <w:rFonts w:ascii="Arial" w:cs="Arial" w:hAnsi="Arial" w:hint="default"/>
      </w:rPr>
    </w:lvl>
    <w:lvl w:ilvl="7">
      <w:start w:val="1"/>
      <w:numFmt w:val="bullet"/>
      <w:lvlText w:val="•"/>
      <w:lvlJc w:val="left"/>
      <w:pPr>
        <w:tabs>
          <w:tab w:pos="5760" w:val="num"/>
        </w:tabs>
        <w:ind w:hanging="360" w:left="5760"/>
      </w:pPr>
      <w:rPr>
        <w:rFonts w:ascii="Arial" w:cs="Arial" w:hAnsi="Arial" w:hint="default"/>
      </w:rPr>
    </w:lvl>
    <w:lvl w:ilvl="8">
      <w:start w:val="1"/>
      <w:numFmt w:val="bullet"/>
      <w:lvlText w:val="•"/>
      <w:lvlJc w:val="left"/>
      <w:pPr>
        <w:tabs>
          <w:tab w:pos="6480" w:val="num"/>
        </w:tabs>
        <w:ind w:hanging="360" w:left="6480"/>
      </w:pPr>
      <w:rPr>
        <w:rFonts w:ascii="Arial" w:cs="Arial" w:hAnsi="Arial" w:hint="default"/>
      </w:rPr>
    </w:lvl>
  </w:abstractNum>
  <w:abstractNum w:abstractNumId="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7">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w:style w:styleId="style0" w:type="paragraph">
    <w:name w:val="Style par défaut"/>
    <w:next w:val="style0"/>
    <w:pPr>
      <w:widowControl/>
      <w:suppressAutoHyphens w:val="true"/>
      <w:spacing w:after="0" w:before="0" w:line="100" w:lineRule="atLeast"/>
      <w:contextualSpacing w:val="false"/>
    </w:pPr>
    <w:rPr>
      <w:rFonts w:ascii="Times New Roman" w:cs="Times New Roman" w:eastAsia="Times New Roman" w:hAnsi="Times New Roman"/>
      <w:color w:val="auto"/>
      <w:sz w:val="24"/>
      <w:szCs w:val="24"/>
      <w:lang w:bidi="ar-SA" w:eastAsia="en-US" w:val="en-US"/>
    </w:rPr>
  </w:style>
  <w:style w:styleId="style15" w:type="character">
    <w:name w:val="Default Paragraph Font"/>
    <w:next w:val="style15"/>
    <w:rPr/>
  </w:style>
  <w:style w:styleId="style16" w:type="character">
    <w:name w:val="Lien Internet"/>
    <w:next w:val="style16"/>
    <w:rPr>
      <w:color w:val="0000FF"/>
      <w:u w:val="single"/>
      <w:lang w:bidi="zxx-" w:eastAsia="zxx-" w:val="zxx-"/>
    </w:rPr>
  </w:style>
  <w:style w:styleId="style17" w:type="character">
    <w:name w:val="Footnote Text Char"/>
    <w:basedOn w:val="style15"/>
    <w:next w:val="style17"/>
    <w:rPr>
      <w:rFonts w:ascii="Times New Roman" w:cs="Times New Roman" w:eastAsia="Times New Roman" w:hAnsi="Times New Roman"/>
      <w:sz w:val="20"/>
      <w:szCs w:val="20"/>
    </w:rPr>
  </w:style>
  <w:style w:styleId="style18" w:type="character">
    <w:name w:val="Intense Quote Char"/>
    <w:basedOn w:val="style15"/>
    <w:next w:val="style18"/>
    <w:rPr>
      <w:rFonts w:ascii="Times New Roman" w:cs="Arial" w:eastAsia="Calibri" w:hAnsi="Times New Roman"/>
      <w:b/>
      <w:bCs/>
      <w:i/>
      <w:iCs/>
      <w:color w:val="4F81BD"/>
      <w:sz w:val="24"/>
      <w:lang w:bidi="ar-LB"/>
    </w:rPr>
  </w:style>
  <w:style w:styleId="style19" w:type="character">
    <w:name w:val="footnote reference"/>
    <w:next w:val="style19"/>
    <w:rPr>
      <w:vertAlign w:val="superscript"/>
    </w:rPr>
  </w:style>
  <w:style w:styleId="style20" w:type="character">
    <w:name w:val="ft"/>
    <w:next w:val="style20"/>
    <w:rPr/>
  </w:style>
  <w:style w:styleId="style21" w:type="character">
    <w:name w:val="FollowedHyperlink"/>
    <w:basedOn w:val="style15"/>
    <w:next w:val="style21"/>
    <w:rPr>
      <w:color w:val="800080"/>
      <w:u w:val="single"/>
    </w:rPr>
  </w:style>
  <w:style w:styleId="style22" w:type="character">
    <w:name w:val="Balloon Text Char"/>
    <w:basedOn w:val="style15"/>
    <w:next w:val="style22"/>
    <w:rPr>
      <w:rFonts w:ascii="Tahoma" w:cs="Tahoma" w:eastAsia="Times New Roman" w:hAnsi="Tahoma"/>
      <w:sz w:val="16"/>
      <w:szCs w:val="16"/>
    </w:rPr>
  </w:style>
  <w:style w:styleId="style23" w:type="character">
    <w:name w:val="Header Char"/>
    <w:basedOn w:val="style15"/>
    <w:next w:val="style23"/>
    <w:rPr>
      <w:rFonts w:ascii="Times New Roman" w:cs="Times New Roman" w:eastAsia="Times New Roman" w:hAnsi="Times New Roman"/>
      <w:sz w:val="24"/>
      <w:szCs w:val="24"/>
    </w:rPr>
  </w:style>
  <w:style w:styleId="style24" w:type="character">
    <w:name w:val="Footer Char"/>
    <w:basedOn w:val="style15"/>
    <w:next w:val="style24"/>
    <w:rPr>
      <w:rFonts w:ascii="Times New Roman" w:cs="Times New Roman" w:eastAsia="Times New Roman" w:hAnsi="Times New Roman"/>
      <w:sz w:val="24"/>
      <w:szCs w:val="24"/>
    </w:rPr>
  </w:style>
  <w:style w:styleId="style25" w:type="character">
    <w:name w:val="ListLabel 1"/>
    <w:next w:val="style25"/>
    <w:rPr>
      <w:b/>
      <w:bCs/>
    </w:rPr>
  </w:style>
  <w:style w:styleId="style26" w:type="character">
    <w:name w:val="ListLabel 2"/>
    <w:next w:val="style26"/>
    <w:rPr>
      <w:rFonts w:cs="Calibri"/>
    </w:rPr>
  </w:style>
  <w:style w:styleId="style27" w:type="character">
    <w:name w:val="ListLabel 3"/>
    <w:next w:val="style27"/>
    <w:rPr>
      <w:rFonts w:cs="Courier New"/>
    </w:rPr>
  </w:style>
  <w:style w:styleId="style28" w:type="character">
    <w:name w:val="ListLabel 4"/>
    <w:next w:val="style28"/>
    <w:rPr>
      <w:sz w:val="20"/>
    </w:rPr>
  </w:style>
  <w:style w:styleId="style29" w:type="character">
    <w:name w:val="ListLabel 5"/>
    <w:next w:val="style29"/>
    <w:rPr>
      <w:i w:val="false"/>
    </w:rPr>
  </w:style>
  <w:style w:styleId="style30" w:type="character">
    <w:name w:val="ListLabel 6"/>
    <w:next w:val="style30"/>
    <w:rPr>
      <w:rFonts w:cs="Times New Roman" w:eastAsia="Times New Roman"/>
    </w:rPr>
  </w:style>
  <w:style w:styleId="style31" w:type="character">
    <w:name w:val="Caractères de note de bas de page"/>
    <w:next w:val="style31"/>
    <w:rPr/>
  </w:style>
  <w:style w:styleId="style32" w:type="character">
    <w:name w:val="Ancre de note de bas de page"/>
    <w:next w:val="style32"/>
    <w:rPr>
      <w:vertAlign w:val="superscript"/>
    </w:rPr>
  </w:style>
  <w:style w:styleId="style33" w:type="character">
    <w:name w:val="Ancre de note de fin"/>
    <w:next w:val="style33"/>
    <w:rPr>
      <w:vertAlign w:val="superscript"/>
    </w:rPr>
  </w:style>
  <w:style w:styleId="style34" w:type="character">
    <w:name w:val="Caractères de note de fin"/>
    <w:next w:val="style34"/>
    <w:rPr/>
  </w:style>
  <w:style w:styleId="style35" w:type="paragraph">
    <w:name w:val="Titre"/>
    <w:basedOn w:val="style0"/>
    <w:next w:val="style36"/>
    <w:pPr>
      <w:keepNext/>
      <w:spacing w:after="120" w:before="240"/>
      <w:contextualSpacing w:val="false"/>
    </w:pPr>
    <w:rPr>
      <w:rFonts w:ascii="Arial" w:cs="Mangal" w:eastAsia="Microsoft YaHei" w:hAnsi="Arial"/>
      <w:sz w:val="28"/>
      <w:szCs w:val="28"/>
    </w:rPr>
  </w:style>
  <w:style w:styleId="style36" w:type="paragraph">
    <w:name w:val="Corps de texte"/>
    <w:basedOn w:val="style0"/>
    <w:next w:val="style36"/>
    <w:pPr>
      <w:spacing w:after="120" w:before="0"/>
      <w:contextualSpacing w:val="false"/>
    </w:pPr>
    <w:rPr/>
  </w:style>
  <w:style w:styleId="style37" w:type="paragraph">
    <w:name w:val="Liste"/>
    <w:basedOn w:val="style36"/>
    <w:next w:val="style37"/>
    <w:pPr/>
    <w:rPr>
      <w:rFonts w:cs="Mangal"/>
    </w:rPr>
  </w:style>
  <w:style w:styleId="style38" w:type="paragraph">
    <w:name w:val="Légende"/>
    <w:basedOn w:val="style0"/>
    <w:next w:val="style38"/>
    <w:pPr>
      <w:suppressLineNumbers/>
      <w:spacing w:after="120" w:before="120"/>
      <w:contextualSpacing w:val="false"/>
    </w:pPr>
    <w:rPr>
      <w:rFonts w:cs="Mangal"/>
      <w:i/>
      <w:iCs/>
      <w:sz w:val="24"/>
      <w:szCs w:val="24"/>
    </w:rPr>
  </w:style>
  <w:style w:styleId="style39" w:type="paragraph">
    <w:name w:val="Index"/>
    <w:basedOn w:val="style0"/>
    <w:next w:val="style39"/>
    <w:pPr>
      <w:suppressLineNumbers/>
    </w:pPr>
    <w:rPr>
      <w:rFonts w:cs="Mangal"/>
    </w:rPr>
  </w:style>
  <w:style w:styleId="style40" w:type="paragraph">
    <w:name w:val="Normal (Web)"/>
    <w:basedOn w:val="style0"/>
    <w:next w:val="style40"/>
    <w:pPr>
      <w:spacing w:after="28" w:before="28"/>
      <w:contextualSpacing w:val="false"/>
    </w:pPr>
    <w:rPr/>
  </w:style>
  <w:style w:styleId="style41" w:type="paragraph">
    <w:name w:val="footnote text"/>
    <w:basedOn w:val="style0"/>
    <w:next w:val="style41"/>
    <w:pPr/>
    <w:rPr>
      <w:sz w:val="20"/>
      <w:szCs w:val="20"/>
    </w:rPr>
  </w:style>
  <w:style w:styleId="style42" w:type="paragraph">
    <w:name w:val="List Paragraph"/>
    <w:basedOn w:val="style0"/>
    <w:next w:val="style42"/>
    <w:pPr>
      <w:spacing w:after="0" w:before="0"/>
      <w:ind w:hanging="0" w:left="720" w:right="0"/>
      <w:contextualSpacing/>
      <w:jc w:val="both"/>
    </w:pPr>
    <w:rPr>
      <w:rFonts w:cs="Arial" w:eastAsia="Calibri"/>
      <w:sz w:val="22"/>
      <w:szCs w:val="22"/>
      <w:lang w:bidi="ar-LB"/>
    </w:rPr>
  </w:style>
  <w:style w:styleId="style43" w:type="paragraph">
    <w:name w:val="Intense Quote"/>
    <w:basedOn w:val="style0"/>
    <w:next w:val="style43"/>
    <w:pPr>
      <w:pBdr>
        <w:top w:val="none"/>
        <w:left w:val="none"/>
        <w:bottom w:color="4F81BD" w:space="0" w:sz="4" w:val="single"/>
        <w:insideH w:color="4F81BD" w:space="0" w:sz="4" w:val="single"/>
        <w:right w:val="none"/>
        <w:insideV w:val="none"/>
      </w:pBdr>
      <w:spacing w:after="280" w:before="200"/>
      <w:ind w:hanging="0" w:left="936" w:right="936"/>
      <w:contextualSpacing w:val="false"/>
      <w:jc w:val="both"/>
    </w:pPr>
    <w:rPr>
      <w:rFonts w:cs="Arial" w:eastAsia="Calibri"/>
      <w:b/>
      <w:bCs/>
      <w:i/>
      <w:iCs/>
      <w:color w:val="4F81BD"/>
      <w:sz w:val="22"/>
      <w:szCs w:val="22"/>
      <w:lang w:bidi="ar-LB"/>
    </w:rPr>
  </w:style>
  <w:style w:styleId="style44" w:type="paragraph">
    <w:name w:val="Balloon Text"/>
    <w:basedOn w:val="style0"/>
    <w:next w:val="style44"/>
    <w:pPr/>
    <w:rPr>
      <w:rFonts w:ascii="Tahoma" w:cs="Tahoma" w:hAnsi="Tahoma"/>
      <w:sz w:val="16"/>
      <w:szCs w:val="16"/>
    </w:rPr>
  </w:style>
  <w:style w:styleId="style45" w:type="paragraph">
    <w:name w:val="En-tête"/>
    <w:basedOn w:val="style0"/>
    <w:next w:val="style45"/>
    <w:pPr>
      <w:tabs>
        <w:tab w:leader="none" w:pos="4320" w:val="center"/>
        <w:tab w:leader="none" w:pos="8640" w:val="right"/>
      </w:tabs>
    </w:pPr>
    <w:rPr/>
  </w:style>
  <w:style w:styleId="style46" w:type="paragraph">
    <w:name w:val="Pied de page"/>
    <w:basedOn w:val="style0"/>
    <w:next w:val="style46"/>
    <w:pPr>
      <w:tabs>
        <w:tab w:leader="none" w:pos="4320" w:val="center"/>
        <w:tab w:leader="none" w:pos="8640" w:val="right"/>
      </w:tabs>
    </w:pPr>
    <w:rPr/>
  </w:style>
  <w:style w:styleId="style47" w:type="paragraph">
    <w:name w:val="Note de bas de page"/>
    <w:basedOn w:val="style0"/>
    <w:next w:val="style47"/>
    <w:pPr/>
    <w:rPr/>
  </w:style>
  <w:style w:styleId="style48" w:type="paragraph">
    <w:name w:val="Contenu de cadre"/>
    <w:basedOn w:val="style36"/>
    <w:next w:val="style4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dx.doi.org.ezproxy.aub.edu.lb/10.1016/j.lcats.2007.11.002" TargetMode="External"/><Relationship Id="rId7" Type="http://schemas.openxmlformats.org/officeDocument/2006/relationships/hyperlink" Target="http://dx.doi.org/10.1300/J120v04n11_23" TargetMode="External"/><Relationship Id="rId8" Type="http://schemas.openxmlformats.org/officeDocument/2006/relationships/hyperlink" Target="http://dx.doi.org.ezproxy.aub.edu.lb/10.1016/j.lcats.2004.08.012" TargetMode="External"/><Relationship Id="rId9" Type="http://schemas.openxmlformats.org/officeDocument/2006/relationships/hyperlink" Target="http://dx.doi.org.ezproxy.aub.edu.lb/10.1108/01604950810846224" TargetMode="Externa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guides.lib.umich.edu/content.php?pid=98218&amp;sid=736298" TargetMode="External"/>
</Relationships>
</file>

<file path=docProps/app.xml><?xml version="1.0" encoding="utf-8"?>
<Properties xmlns="http://schemas.openxmlformats.org/officeDocument/2006/extended-properties" xmlns:vt="http://schemas.openxmlformats.org/officeDocument/2006/docPropsVTypes">
  <Template>Normal</Template>
  <TotalTime>5723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2013-03-14T06:55:00.00Z</dcterms:created>
  <dc:creator>Mariette Atallah </dc:creator>
  <cp:lastModifiedBy>Mariette Atallah </cp:lastModifiedBy>
  <cp:lastPrinted>2013-05-24T11:45:00.00Z</cp:lastPrinted>
  <dcterms:modified xsi:type="dcterms:W3CDTF">2013-10-09T06:10:00.00Z</dcterms:modified>
  <cp:revision>206</cp:revision>
  <dc:title>-</dc:title>
</cp:coreProperties>
</file>